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93" w:rsidRPr="00774930" w:rsidRDefault="00024093" w:rsidP="00024093">
      <w:pPr>
        <w:pStyle w:val="chapitre"/>
      </w:pPr>
      <w:bookmarkStart w:id="0" w:name="_Toc531335699"/>
      <w:r w:rsidRPr="00774930">
        <w:t>ANNEXE 3</w:t>
      </w:r>
      <w:bookmarkEnd w:id="0"/>
    </w:p>
    <w:p w:rsidR="00024093" w:rsidRPr="00774930" w:rsidRDefault="00024093" w:rsidP="00024093">
      <w:pPr>
        <w:pStyle w:val="titrevade"/>
        <w:rPr>
          <w:rFonts w:cs="Constantia"/>
          <w:sz w:val="20"/>
          <w:szCs w:val="20"/>
        </w:rPr>
      </w:pPr>
      <w:bookmarkStart w:id="1" w:name="_Toc531335700"/>
      <w:r w:rsidRPr="00774930">
        <w:t>Modèle de formulaire pour le rapport annuel</w:t>
      </w:r>
      <w:bookmarkEnd w:id="1"/>
    </w:p>
    <w:p w:rsidR="00024093" w:rsidRPr="00774930"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p>
    <w:p w:rsidR="00024093" w:rsidRPr="00774930"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Publication faite en exécution de l’article 7, § 1, de l’ordonnance conjointe du 14 décembre 2017 à la Région de Bruxelles-Capitale et à la Commission communautaire commune sur la transparence des rémunérations et avantages des mandataires publics bruxellois.</w:t>
      </w:r>
    </w:p>
    <w:p w:rsidR="00024093" w:rsidRPr="00774930"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p>
    <w:p w:rsidR="00024093" w:rsidRPr="00774930"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Arrêté d’exécution du Gouvernement de la Région de Bruxelles-Capitale du 4 octobre 2018 portant exécution de l’article 7 de l’ordonnance conjointe à la Région de Bruxelles-Capitale et à la Commission communautaire commune du 14 décembre 2017 sur la transparence des rémunérations et avantages des mandataires publics bruxellois.</w:t>
      </w:r>
    </w:p>
    <w:p w:rsidR="00024093" w:rsidRPr="00774930" w:rsidRDefault="00024093" w:rsidP="00024093">
      <w:pPr>
        <w:pStyle w:val="Voetnoottekst"/>
        <w:jc w:val="both"/>
        <w:rPr>
          <w:rFonts w:asciiTheme="majorHAnsi" w:hAnsiTheme="majorHAnsi" w:cs="Constantia"/>
          <w:lang w:val="fr-BE"/>
        </w:rPr>
        <w:sectPr w:rsidR="00024093" w:rsidRPr="00774930">
          <w:footerReference w:type="default" r:id="rId7"/>
          <w:pgSz w:w="11906" w:h="16838"/>
          <w:pgMar w:top="1417" w:right="1417" w:bottom="1417" w:left="1417" w:header="708" w:footer="708" w:gutter="0"/>
          <w:cols w:space="708"/>
          <w:docGrid w:linePitch="360"/>
        </w:sectPr>
      </w:pPr>
      <w:bookmarkStart w:id="2" w:name="_GoBack"/>
      <w:bookmarkEnd w:id="2"/>
    </w:p>
    <w:p w:rsidR="00024093" w:rsidRDefault="00024093" w:rsidP="00024093">
      <w:pPr>
        <w:autoSpaceDE w:val="0"/>
        <w:autoSpaceDN w:val="0"/>
        <w:adjustRightInd w:val="0"/>
        <w:spacing w:after="0" w:line="240" w:lineRule="auto"/>
        <w:jc w:val="both"/>
        <w:rPr>
          <w:rFonts w:asciiTheme="majorHAnsi" w:hAnsiTheme="majorHAnsi" w:cs="Constantia"/>
          <w:b/>
          <w:color w:val="000000"/>
          <w:sz w:val="20"/>
          <w:szCs w:val="20"/>
          <w:lang w:val="fr-BE"/>
        </w:rPr>
      </w:pPr>
      <w:r w:rsidRPr="00774930">
        <w:rPr>
          <w:rFonts w:asciiTheme="majorHAnsi" w:hAnsiTheme="majorHAnsi" w:cs="Constantia"/>
          <w:b/>
          <w:color w:val="000000"/>
          <w:sz w:val="20"/>
          <w:szCs w:val="20"/>
          <w:lang w:val="fr-BE"/>
        </w:rPr>
        <w:t xml:space="preserve">Relevé des présences en réunion, rémunérations et avantages de toute nature ainsi que des frais de représentation – article 7, § 1, de l’ordonnance </w:t>
      </w:r>
      <w:r>
        <w:rPr>
          <w:rFonts w:asciiTheme="majorHAnsi" w:hAnsiTheme="majorHAnsi" w:cs="Constantia"/>
          <w:b/>
          <w:color w:val="000000"/>
          <w:sz w:val="20"/>
          <w:szCs w:val="20"/>
          <w:lang w:val="fr-BE"/>
        </w:rPr>
        <w:t xml:space="preserve">conjointe </w:t>
      </w:r>
      <w:r w:rsidRPr="00774930">
        <w:rPr>
          <w:rFonts w:asciiTheme="majorHAnsi" w:hAnsiTheme="majorHAnsi" w:cs="Constantia"/>
          <w:b/>
          <w:color w:val="000000"/>
          <w:sz w:val="20"/>
          <w:szCs w:val="20"/>
          <w:lang w:val="fr-BE"/>
        </w:rPr>
        <w:t>du 14 décembre 2017</w:t>
      </w:r>
    </w:p>
    <w:p w:rsidR="00024093" w:rsidRPr="00774930" w:rsidRDefault="00024093" w:rsidP="00024093">
      <w:pPr>
        <w:autoSpaceDE w:val="0"/>
        <w:autoSpaceDN w:val="0"/>
        <w:adjustRightInd w:val="0"/>
        <w:spacing w:after="0" w:line="240" w:lineRule="auto"/>
        <w:jc w:val="both"/>
        <w:rPr>
          <w:rFonts w:asciiTheme="majorHAnsi" w:hAnsiTheme="majorHAnsi" w:cs="Constantia"/>
          <w:b/>
          <w:color w:val="000000"/>
          <w:sz w:val="20"/>
          <w:szCs w:val="20"/>
          <w:lang w:val="fr-BE"/>
        </w:rPr>
      </w:pPr>
    </w:p>
    <w:tbl>
      <w:tblPr>
        <w:tblStyle w:val="Tabelraster"/>
        <w:tblW w:w="0" w:type="auto"/>
        <w:tblInd w:w="-5" w:type="dxa"/>
        <w:tblLayout w:type="fixed"/>
        <w:tblLook w:val="04A0" w:firstRow="1" w:lastRow="0" w:firstColumn="1" w:lastColumn="0" w:noHBand="0" w:noVBand="1"/>
      </w:tblPr>
      <w:tblGrid>
        <w:gridCol w:w="2410"/>
        <w:gridCol w:w="2268"/>
        <w:gridCol w:w="1701"/>
        <w:gridCol w:w="964"/>
        <w:gridCol w:w="6549"/>
      </w:tblGrid>
      <w:tr w:rsidR="00024093" w:rsidRPr="00774930" w:rsidTr="004933FA">
        <w:tc>
          <w:tcPr>
            <w:tcW w:w="2410"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Nom</w:t>
            </w:r>
          </w:p>
        </w:tc>
        <w:tc>
          <w:tcPr>
            <w:tcW w:w="2268"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Prénom</w:t>
            </w:r>
          </w:p>
        </w:tc>
        <w:tc>
          <w:tcPr>
            <w:tcW w:w="1701"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Numéro national</w:t>
            </w:r>
          </w:p>
        </w:tc>
        <w:tc>
          <w:tcPr>
            <w:tcW w:w="964"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Rôle lingui</w:t>
            </w:r>
            <w:r>
              <w:rPr>
                <w:rFonts w:asciiTheme="majorHAnsi" w:hAnsiTheme="majorHAnsi"/>
                <w:b/>
                <w:color w:val="auto"/>
                <w:sz w:val="20"/>
                <w:szCs w:val="20"/>
                <w:lang w:val="fr-BE"/>
              </w:rPr>
              <w:t>-</w:t>
            </w:r>
            <w:r w:rsidRPr="00774930">
              <w:rPr>
                <w:rFonts w:asciiTheme="majorHAnsi" w:hAnsiTheme="majorHAnsi"/>
                <w:b/>
                <w:color w:val="auto"/>
                <w:sz w:val="20"/>
                <w:szCs w:val="20"/>
                <w:lang w:val="fr-BE"/>
              </w:rPr>
              <w:t>stique</w:t>
            </w:r>
          </w:p>
        </w:tc>
        <w:tc>
          <w:tcPr>
            <w:tcW w:w="6549"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Adresse</w:t>
            </w: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2410"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2268"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96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6549" w:type="dxa"/>
          </w:tcPr>
          <w:p w:rsidR="00024093" w:rsidRPr="00EF49AE" w:rsidRDefault="00024093" w:rsidP="004933FA">
            <w:pPr>
              <w:autoSpaceDE w:val="0"/>
              <w:autoSpaceDN w:val="0"/>
              <w:adjustRightInd w:val="0"/>
              <w:rPr>
                <w:rFonts w:ascii="Arial" w:hAnsi="Arial" w:cs="Arial"/>
                <w:color w:val="000000"/>
                <w:sz w:val="20"/>
                <w:szCs w:val="20"/>
                <w:lang w:val="fr-BE"/>
              </w:rPr>
            </w:pPr>
          </w:p>
        </w:tc>
      </w:tr>
    </w:tbl>
    <w:p w:rsidR="00024093" w:rsidRPr="00774930"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Tabelraster"/>
        <w:tblpPr w:leftFromText="141" w:rightFromText="141" w:vertAnchor="text" w:horzAnchor="margin" w:tblpY="-233"/>
        <w:tblW w:w="0" w:type="auto"/>
        <w:tblLayout w:type="fixed"/>
        <w:tblLook w:val="04A0" w:firstRow="1" w:lastRow="0" w:firstColumn="1" w:lastColumn="0" w:noHBand="0" w:noVBand="1"/>
      </w:tblPr>
      <w:tblGrid>
        <w:gridCol w:w="4531"/>
        <w:gridCol w:w="4395"/>
        <w:gridCol w:w="1275"/>
        <w:gridCol w:w="1418"/>
        <w:gridCol w:w="1134"/>
        <w:gridCol w:w="1134"/>
      </w:tblGrid>
      <w:tr w:rsidR="00024093" w:rsidRPr="00774930" w:rsidTr="004933FA">
        <w:tc>
          <w:tcPr>
            <w:tcW w:w="4531"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Pr>
                <w:rFonts w:asciiTheme="majorHAnsi" w:hAnsiTheme="majorHAnsi"/>
                <w:b/>
                <w:color w:val="auto"/>
                <w:sz w:val="20"/>
                <w:szCs w:val="20"/>
                <w:lang w:val="fr-BE"/>
              </w:rPr>
              <w:t>M</w:t>
            </w:r>
            <w:r w:rsidRPr="00774930">
              <w:rPr>
                <w:rFonts w:asciiTheme="majorHAnsi" w:hAnsiTheme="majorHAnsi"/>
                <w:b/>
                <w:color w:val="auto"/>
                <w:sz w:val="20"/>
                <w:szCs w:val="20"/>
                <w:lang w:val="fr-BE"/>
              </w:rPr>
              <w:t>andat, fonction ou fonction dérivée</w:t>
            </w:r>
          </w:p>
        </w:tc>
        <w:tc>
          <w:tcPr>
            <w:tcW w:w="4395"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Organisme</w:t>
            </w:r>
          </w:p>
        </w:tc>
        <w:tc>
          <w:tcPr>
            <w:tcW w:w="1275"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Mandat rémunéré</w:t>
            </w:r>
            <w:r>
              <w:rPr>
                <w:rFonts w:asciiTheme="majorHAnsi" w:hAnsiTheme="majorHAnsi"/>
                <w:b/>
                <w:color w:val="auto"/>
                <w:sz w:val="20"/>
                <w:szCs w:val="20"/>
                <w:lang w:val="fr-BE"/>
              </w:rPr>
              <w:t xml:space="preserve"> (oui/non)</w:t>
            </w:r>
          </w:p>
        </w:tc>
        <w:tc>
          <w:tcPr>
            <w:tcW w:w="1418"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Mandat non rémunéré</w:t>
            </w:r>
            <w:r>
              <w:rPr>
                <w:rFonts w:asciiTheme="majorHAnsi" w:hAnsiTheme="majorHAnsi"/>
                <w:b/>
                <w:color w:val="auto"/>
                <w:sz w:val="20"/>
                <w:szCs w:val="20"/>
                <w:lang w:val="fr-BE"/>
              </w:rPr>
              <w:t xml:space="preserve"> (oui/non)</w:t>
            </w:r>
          </w:p>
        </w:tc>
        <w:tc>
          <w:tcPr>
            <w:tcW w:w="1134"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de début</w:t>
            </w:r>
          </w:p>
        </w:tc>
        <w:tc>
          <w:tcPr>
            <w:tcW w:w="1134"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de fin</w:t>
            </w: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4531"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4395"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418" w:type="dxa"/>
          </w:tcPr>
          <w:p w:rsidR="00024093" w:rsidRPr="00EF49AE" w:rsidRDefault="00024093" w:rsidP="004933FA">
            <w:pPr>
              <w:autoSpaceDE w:val="0"/>
              <w:autoSpaceDN w:val="0"/>
              <w:adjustRightInd w:val="0"/>
              <w:jc w:val="center"/>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EF49AE" w:rsidRDefault="00024093" w:rsidP="004933FA">
            <w:pPr>
              <w:autoSpaceDE w:val="0"/>
              <w:autoSpaceDN w:val="0"/>
              <w:adjustRightInd w:val="0"/>
              <w:rPr>
                <w:rFonts w:ascii="Arial" w:hAnsi="Arial" w:cs="Arial"/>
                <w:color w:val="000000"/>
                <w:sz w:val="20"/>
                <w:szCs w:val="20"/>
                <w:lang w:val="fr-BE"/>
              </w:rPr>
            </w:pPr>
          </w:p>
        </w:tc>
      </w:tr>
    </w:tbl>
    <w:p w:rsidR="00024093" w:rsidRPr="00774930" w:rsidRDefault="00024093" w:rsidP="00024093">
      <w:pPr>
        <w:autoSpaceDE w:val="0"/>
        <w:autoSpaceDN w:val="0"/>
        <w:adjustRightInd w:val="0"/>
        <w:spacing w:after="0" w:line="240" w:lineRule="auto"/>
        <w:ind w:right="-457"/>
        <w:jc w:val="both"/>
        <w:rPr>
          <w:rFonts w:asciiTheme="majorHAnsi" w:hAnsiTheme="majorHAnsi" w:cs="Constantia"/>
          <w:color w:val="000000"/>
          <w:sz w:val="20"/>
          <w:szCs w:val="20"/>
          <w:lang w:val="fr-BE"/>
        </w:rPr>
      </w:pPr>
    </w:p>
    <w:p w:rsidR="00024093"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Tabelraster"/>
        <w:tblW w:w="0" w:type="auto"/>
        <w:tblLayout w:type="fixed"/>
        <w:tblLook w:val="04A0" w:firstRow="1" w:lastRow="0" w:firstColumn="1" w:lastColumn="0" w:noHBand="0" w:noVBand="1"/>
      </w:tblPr>
      <w:tblGrid>
        <w:gridCol w:w="1668"/>
        <w:gridCol w:w="1304"/>
        <w:gridCol w:w="1276"/>
        <w:gridCol w:w="3323"/>
        <w:gridCol w:w="1418"/>
        <w:gridCol w:w="3685"/>
        <w:gridCol w:w="1247"/>
      </w:tblGrid>
      <w:tr w:rsidR="00024093" w:rsidRPr="00774930" w:rsidTr="004933FA">
        <w:tc>
          <w:tcPr>
            <w:tcW w:w="1668"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lastRenderedPageBreak/>
              <w:t>Rémunération ou indemnité annuelle brute</w:t>
            </w:r>
          </w:p>
          <w:p w:rsidR="00024093" w:rsidRPr="00774930" w:rsidRDefault="00024093" w:rsidP="004933FA">
            <w:pPr>
              <w:jc w:val="center"/>
              <w:rPr>
                <w:rFonts w:asciiTheme="majorHAnsi" w:hAnsiTheme="majorHAnsi"/>
                <w:b/>
                <w:sz w:val="20"/>
                <w:szCs w:val="20"/>
                <w:lang w:val="fr-BE"/>
              </w:rPr>
            </w:pPr>
            <w:r w:rsidRPr="00774930">
              <w:rPr>
                <w:rFonts w:asciiTheme="majorHAnsi" w:hAnsiTheme="majorHAnsi"/>
                <w:b/>
                <w:sz w:val="20"/>
                <w:szCs w:val="20"/>
                <w:lang w:val="fr-BE"/>
              </w:rPr>
              <w:t>(A)</w:t>
            </w:r>
          </w:p>
        </w:tc>
        <w:tc>
          <w:tcPr>
            <w:tcW w:w="1304"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Total des jetons de présence</w:t>
            </w:r>
          </w:p>
          <w:p w:rsidR="00024093" w:rsidRPr="00774930" w:rsidRDefault="00024093" w:rsidP="004933FA">
            <w:pPr>
              <w:jc w:val="center"/>
              <w:rPr>
                <w:rFonts w:asciiTheme="majorHAnsi" w:hAnsiTheme="majorHAnsi"/>
                <w:b/>
                <w:sz w:val="20"/>
                <w:szCs w:val="20"/>
                <w:lang w:val="fr-BE"/>
              </w:rPr>
            </w:pPr>
            <w:r w:rsidRPr="00774930">
              <w:rPr>
                <w:rFonts w:asciiTheme="majorHAnsi" w:hAnsiTheme="majorHAnsi"/>
                <w:b/>
                <w:sz w:val="20"/>
                <w:szCs w:val="20"/>
                <w:lang w:val="fr-BE"/>
              </w:rPr>
              <w:t>(B)</w:t>
            </w:r>
          </w:p>
        </w:tc>
        <w:tc>
          <w:tcPr>
            <w:tcW w:w="1276"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Nombre de réunions</w:t>
            </w:r>
          </w:p>
        </w:tc>
        <w:tc>
          <w:tcPr>
            <w:tcW w:w="3323"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Avantages de toute nature</w:t>
            </w:r>
          </w:p>
        </w:tc>
        <w:tc>
          <w:tcPr>
            <w:tcW w:w="1418"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Montant</w:t>
            </w:r>
          </w:p>
          <w:p w:rsidR="00024093" w:rsidRPr="00774930" w:rsidRDefault="00024093" w:rsidP="004933FA">
            <w:pPr>
              <w:jc w:val="center"/>
              <w:rPr>
                <w:rFonts w:asciiTheme="majorHAnsi" w:hAnsiTheme="majorHAnsi"/>
                <w:b/>
                <w:sz w:val="20"/>
                <w:szCs w:val="20"/>
                <w:lang w:val="fr-BE"/>
              </w:rPr>
            </w:pPr>
            <w:r w:rsidRPr="00774930">
              <w:rPr>
                <w:rFonts w:asciiTheme="majorHAnsi" w:hAnsiTheme="majorHAnsi"/>
                <w:b/>
                <w:sz w:val="20"/>
                <w:szCs w:val="20"/>
                <w:lang w:val="fr-BE"/>
              </w:rPr>
              <w:t>(C)</w:t>
            </w:r>
          </w:p>
        </w:tc>
        <w:tc>
          <w:tcPr>
            <w:tcW w:w="3685"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Frais de représentation</w:t>
            </w:r>
          </w:p>
        </w:tc>
        <w:tc>
          <w:tcPr>
            <w:tcW w:w="1247"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Montant</w:t>
            </w: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53305B" w:rsidTr="004933FA">
        <w:trPr>
          <w:trHeight w:val="567"/>
        </w:trPr>
        <w:tc>
          <w:tcPr>
            <w:tcW w:w="166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304"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6"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323"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418"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68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47" w:type="dxa"/>
          </w:tcPr>
          <w:p w:rsidR="00024093" w:rsidRPr="0053305B" w:rsidRDefault="00024093" w:rsidP="004933FA">
            <w:pPr>
              <w:autoSpaceDE w:val="0"/>
              <w:autoSpaceDN w:val="0"/>
              <w:adjustRightInd w:val="0"/>
              <w:rPr>
                <w:rFonts w:ascii="Arial" w:hAnsi="Arial" w:cs="Arial"/>
                <w:color w:val="000000"/>
                <w:sz w:val="20"/>
                <w:szCs w:val="20"/>
                <w:lang w:val="fr-BE"/>
              </w:rPr>
            </w:pPr>
          </w:p>
        </w:tc>
      </w:tr>
    </w:tbl>
    <w:p w:rsidR="00024093"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p>
    <w:p w:rsidR="00024093" w:rsidRPr="00774930"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Tabelraster"/>
        <w:tblW w:w="14029" w:type="dxa"/>
        <w:tblLayout w:type="fixed"/>
        <w:tblLook w:val="04A0" w:firstRow="1" w:lastRow="0" w:firstColumn="1" w:lastColumn="0" w:noHBand="0" w:noVBand="1"/>
      </w:tblPr>
      <w:tblGrid>
        <w:gridCol w:w="6232"/>
        <w:gridCol w:w="1701"/>
        <w:gridCol w:w="3261"/>
        <w:gridCol w:w="1275"/>
        <w:gridCol w:w="1560"/>
      </w:tblGrid>
      <w:tr w:rsidR="00024093" w:rsidRPr="00774930" w:rsidTr="004933FA">
        <w:tc>
          <w:tcPr>
            <w:tcW w:w="6232"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lastRenderedPageBreak/>
              <w:t>Outils de travail</w:t>
            </w:r>
          </w:p>
        </w:tc>
        <w:tc>
          <w:tcPr>
            <w:tcW w:w="1701"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SOUS-TOTAL</w:t>
            </w:r>
          </w:p>
          <w:p w:rsidR="00024093" w:rsidRPr="00774930" w:rsidRDefault="00024093" w:rsidP="004933FA">
            <w:pPr>
              <w:jc w:val="center"/>
              <w:rPr>
                <w:rFonts w:asciiTheme="majorHAnsi" w:hAnsiTheme="majorHAnsi"/>
                <w:b/>
                <w:sz w:val="20"/>
                <w:szCs w:val="20"/>
                <w:lang w:val="fr-BE"/>
              </w:rPr>
            </w:pPr>
            <w:r w:rsidRPr="00774930">
              <w:rPr>
                <w:rFonts w:asciiTheme="majorHAnsi" w:hAnsiTheme="majorHAnsi"/>
                <w:b/>
                <w:sz w:val="20"/>
                <w:szCs w:val="20"/>
                <w:lang w:val="fr-BE"/>
              </w:rPr>
              <w:t>(A+B+C)</w:t>
            </w:r>
          </w:p>
        </w:tc>
        <w:tc>
          <w:tcPr>
            <w:tcW w:w="3261"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vertAlign w:val="superscript"/>
                <w:lang w:val="fr-BE"/>
              </w:rPr>
            </w:pPr>
            <w:r w:rsidRPr="00774930">
              <w:rPr>
                <w:rFonts w:asciiTheme="majorHAnsi" w:hAnsiTheme="majorHAnsi"/>
                <w:b/>
                <w:color w:val="auto"/>
                <w:sz w:val="20"/>
                <w:szCs w:val="20"/>
                <w:lang w:val="fr-BE"/>
              </w:rPr>
              <w:t xml:space="preserve">Réductions opérées </w:t>
            </w:r>
            <w:r w:rsidRPr="00774930">
              <w:rPr>
                <w:rFonts w:asciiTheme="majorHAnsi" w:hAnsiTheme="majorHAnsi"/>
                <w:b/>
                <w:color w:val="auto"/>
                <w:sz w:val="20"/>
                <w:szCs w:val="20"/>
                <w:vertAlign w:val="superscript"/>
                <w:lang w:val="fr-BE"/>
              </w:rPr>
              <w:t>1</w:t>
            </w:r>
          </w:p>
          <w:p w:rsidR="00024093" w:rsidRPr="00774930" w:rsidRDefault="00024093" w:rsidP="004933FA">
            <w:pPr>
              <w:jc w:val="center"/>
              <w:rPr>
                <w:rFonts w:asciiTheme="majorHAnsi" w:hAnsiTheme="majorHAnsi"/>
                <w:b/>
                <w:sz w:val="20"/>
                <w:szCs w:val="20"/>
                <w:lang w:val="fr-BE"/>
              </w:rPr>
            </w:pPr>
            <w:r w:rsidRPr="00774930">
              <w:rPr>
                <w:rFonts w:asciiTheme="majorHAnsi" w:hAnsiTheme="majorHAnsi"/>
                <w:b/>
                <w:sz w:val="20"/>
                <w:szCs w:val="20"/>
                <w:lang w:val="fr-BE"/>
              </w:rPr>
              <w:t>(</w:t>
            </w:r>
            <w:r>
              <w:rPr>
                <w:rFonts w:asciiTheme="majorHAnsi" w:hAnsiTheme="majorHAnsi"/>
                <w:b/>
                <w:sz w:val="20"/>
                <w:szCs w:val="20"/>
                <w:lang w:val="fr-BE"/>
              </w:rPr>
              <w:t>D</w:t>
            </w:r>
            <w:r w:rsidRPr="00774930">
              <w:rPr>
                <w:rFonts w:asciiTheme="majorHAnsi" w:hAnsiTheme="majorHAnsi"/>
                <w:b/>
                <w:sz w:val="20"/>
                <w:szCs w:val="20"/>
                <w:lang w:val="fr-BE"/>
              </w:rPr>
              <w:t>)</w:t>
            </w:r>
          </w:p>
        </w:tc>
        <w:tc>
          <w:tcPr>
            <w:tcW w:w="1275"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TOTAL</w:t>
            </w:r>
          </w:p>
          <w:p w:rsidR="00024093" w:rsidRPr="00774930" w:rsidRDefault="00024093" w:rsidP="004933FA">
            <w:pPr>
              <w:jc w:val="center"/>
              <w:rPr>
                <w:rFonts w:asciiTheme="majorHAnsi" w:hAnsiTheme="majorHAnsi"/>
                <w:b/>
                <w:sz w:val="20"/>
                <w:szCs w:val="20"/>
                <w:lang w:val="fr-BE"/>
              </w:rPr>
            </w:pPr>
            <w:r>
              <w:rPr>
                <w:rFonts w:asciiTheme="majorHAnsi" w:hAnsiTheme="majorHAnsi"/>
                <w:b/>
                <w:sz w:val="20"/>
                <w:szCs w:val="20"/>
                <w:lang w:val="fr-BE"/>
              </w:rPr>
              <w:t>(A+B+C-D</w:t>
            </w:r>
            <w:r w:rsidRPr="00774930">
              <w:rPr>
                <w:rFonts w:asciiTheme="majorHAnsi" w:hAnsiTheme="majorHAnsi"/>
                <w:b/>
                <w:sz w:val="20"/>
                <w:szCs w:val="20"/>
                <w:lang w:val="fr-BE"/>
              </w:rPr>
              <w:t>)</w:t>
            </w:r>
          </w:p>
        </w:tc>
        <w:tc>
          <w:tcPr>
            <w:tcW w:w="1560"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du rapport</w:t>
            </w: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r w:rsidR="00024093" w:rsidRPr="00774930" w:rsidTr="004933FA">
        <w:trPr>
          <w:trHeight w:val="567"/>
        </w:trPr>
        <w:tc>
          <w:tcPr>
            <w:tcW w:w="6232"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70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3261"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53305B" w:rsidRDefault="00024093" w:rsidP="004933FA">
            <w:pPr>
              <w:autoSpaceDE w:val="0"/>
              <w:autoSpaceDN w:val="0"/>
              <w:adjustRightInd w:val="0"/>
              <w:rPr>
                <w:rFonts w:ascii="Arial" w:hAnsi="Arial" w:cs="Arial"/>
                <w:color w:val="000000"/>
                <w:sz w:val="20"/>
                <w:szCs w:val="20"/>
                <w:lang w:val="fr-BE"/>
              </w:rPr>
            </w:pPr>
          </w:p>
        </w:tc>
        <w:tc>
          <w:tcPr>
            <w:tcW w:w="1560" w:type="dxa"/>
          </w:tcPr>
          <w:p w:rsidR="00024093" w:rsidRPr="0053305B" w:rsidRDefault="00024093" w:rsidP="004933FA">
            <w:pPr>
              <w:autoSpaceDE w:val="0"/>
              <w:autoSpaceDN w:val="0"/>
              <w:adjustRightInd w:val="0"/>
              <w:rPr>
                <w:rFonts w:ascii="Arial" w:hAnsi="Arial" w:cs="Arial"/>
                <w:color w:val="000000"/>
                <w:sz w:val="20"/>
                <w:szCs w:val="20"/>
                <w:lang w:val="fr-BE"/>
              </w:rPr>
            </w:pPr>
          </w:p>
        </w:tc>
      </w:tr>
    </w:tbl>
    <w:p w:rsidR="00024093" w:rsidRDefault="00024093" w:rsidP="00024093">
      <w:pPr>
        <w:autoSpaceDE w:val="0"/>
        <w:autoSpaceDN w:val="0"/>
        <w:adjustRightInd w:val="0"/>
        <w:spacing w:after="0" w:line="240" w:lineRule="auto"/>
        <w:jc w:val="both"/>
        <w:rPr>
          <w:rFonts w:asciiTheme="majorHAnsi" w:hAnsiTheme="majorHAnsi" w:cs="Constantia"/>
          <w:color w:val="000000"/>
          <w:sz w:val="20"/>
          <w:szCs w:val="20"/>
          <w:vertAlign w:val="superscript"/>
          <w:lang w:val="fr-BE"/>
        </w:rPr>
      </w:pPr>
    </w:p>
    <w:p w:rsidR="00024093" w:rsidRDefault="00024093" w:rsidP="00024093">
      <w:pPr>
        <w:autoSpaceDE w:val="0"/>
        <w:autoSpaceDN w:val="0"/>
        <w:adjustRightInd w:val="0"/>
        <w:spacing w:after="0" w:line="240" w:lineRule="auto"/>
        <w:jc w:val="both"/>
        <w:rPr>
          <w:rFonts w:asciiTheme="majorHAnsi" w:hAnsiTheme="majorHAnsi" w:cs="Constantia"/>
          <w:color w:val="000000"/>
          <w:sz w:val="20"/>
          <w:szCs w:val="20"/>
          <w:vertAlign w:val="superscript"/>
          <w:lang w:val="fr-BE"/>
        </w:rPr>
      </w:pPr>
    </w:p>
    <w:p w:rsidR="00024093" w:rsidRDefault="00024093" w:rsidP="00024093">
      <w:pPr>
        <w:autoSpaceDE w:val="0"/>
        <w:autoSpaceDN w:val="0"/>
        <w:adjustRightInd w:val="0"/>
        <w:spacing w:after="0" w:line="240" w:lineRule="auto"/>
        <w:jc w:val="both"/>
        <w:rPr>
          <w:rFonts w:asciiTheme="majorHAnsi" w:hAnsiTheme="majorHAnsi" w:cs="Constantia"/>
          <w:color w:val="000000"/>
          <w:sz w:val="20"/>
          <w:szCs w:val="20"/>
          <w:vertAlign w:val="superscript"/>
          <w:lang w:val="fr-BE"/>
        </w:rPr>
      </w:pPr>
    </w:p>
    <w:p w:rsidR="00024093" w:rsidRDefault="00024093" w:rsidP="00024093">
      <w:pPr>
        <w:autoSpaceDE w:val="0"/>
        <w:autoSpaceDN w:val="0"/>
        <w:adjustRightInd w:val="0"/>
        <w:spacing w:after="0" w:line="240" w:lineRule="auto"/>
        <w:jc w:val="both"/>
        <w:rPr>
          <w:rFonts w:asciiTheme="majorHAnsi" w:hAnsiTheme="majorHAnsi" w:cs="Constantia"/>
          <w:color w:val="000000"/>
          <w:sz w:val="20"/>
          <w:szCs w:val="20"/>
          <w:vertAlign w:val="superscript"/>
          <w:lang w:val="fr-BE"/>
        </w:rPr>
      </w:pPr>
    </w:p>
    <w:p w:rsidR="00024093" w:rsidRPr="00774930"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vertAlign w:val="superscript"/>
          <w:lang w:val="fr-BE"/>
        </w:rPr>
        <w:lastRenderedPageBreak/>
        <w:t>1</w:t>
      </w:r>
      <w:r w:rsidRPr="00774930">
        <w:rPr>
          <w:rFonts w:asciiTheme="majorHAnsi" w:hAnsiTheme="majorHAnsi" w:cs="Constantia"/>
          <w:color w:val="000000"/>
          <w:sz w:val="20"/>
          <w:szCs w:val="20"/>
          <w:lang w:val="fr-BE"/>
        </w:rPr>
        <w:t xml:space="preserve"> </w:t>
      </w:r>
      <w:r w:rsidRPr="00774930">
        <w:rPr>
          <w:rFonts w:asciiTheme="majorHAnsi" w:hAnsiTheme="majorHAnsi" w:cs="Constantia"/>
          <w:b/>
          <w:color w:val="000000"/>
          <w:sz w:val="20"/>
          <w:szCs w:val="20"/>
          <w:u w:val="single"/>
          <w:lang w:val="fr-BE"/>
        </w:rPr>
        <w:t>Remarques relatives aux réductions :</w:t>
      </w:r>
    </w:p>
    <w:p w:rsidR="00024093" w:rsidRPr="00774930"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p>
    <w:p w:rsidR="00024093" w:rsidRPr="00774930" w:rsidRDefault="00024093" w:rsidP="00024093">
      <w:pPr>
        <w:spacing w:after="0" w:line="240" w:lineRule="auto"/>
        <w:jc w:val="both"/>
        <w:rPr>
          <w:rFonts w:asciiTheme="majorHAnsi" w:eastAsia="Calibri" w:hAnsiTheme="majorHAnsi" w:cs="Times New Roman"/>
          <w:sz w:val="20"/>
          <w:szCs w:val="20"/>
          <w:lang w:val="fr-BE"/>
        </w:rPr>
      </w:pPr>
      <w:r w:rsidRPr="00774930">
        <w:rPr>
          <w:rFonts w:asciiTheme="majorHAnsi" w:eastAsia="Calibri" w:hAnsiTheme="majorHAnsi" w:cs="Calibri"/>
          <w:sz w:val="20"/>
          <w:szCs w:val="20"/>
          <w:bdr w:val="nil"/>
          <w:lang w:val="fr-BE"/>
        </w:rPr>
        <w:t xml:space="preserve">Les </w:t>
      </w:r>
      <w:r w:rsidRPr="00774930">
        <w:rPr>
          <w:rFonts w:asciiTheme="majorHAnsi" w:eastAsia="Calibri" w:hAnsiTheme="majorHAnsi" w:cs="Calibri"/>
          <w:sz w:val="20"/>
          <w:szCs w:val="20"/>
          <w:u w:val="single"/>
          <w:bdr w:val="nil"/>
          <w:lang w:val="fr-BE"/>
        </w:rPr>
        <w:t>modalités</w:t>
      </w:r>
      <w:r w:rsidRPr="00774930">
        <w:rPr>
          <w:rFonts w:asciiTheme="majorHAnsi" w:eastAsia="Calibri" w:hAnsiTheme="majorHAnsi" w:cs="Calibri"/>
          <w:sz w:val="20"/>
          <w:szCs w:val="20"/>
          <w:bdr w:val="nil"/>
          <w:lang w:val="fr-BE"/>
        </w:rPr>
        <w:t xml:space="preserve"> de réduction sont prévues à l’article 3, § 2, de l’ordonnance </w:t>
      </w:r>
      <w:r>
        <w:rPr>
          <w:rFonts w:asciiTheme="majorHAnsi" w:eastAsia="Calibri" w:hAnsiTheme="majorHAnsi" w:cs="Calibri"/>
          <w:sz w:val="20"/>
          <w:szCs w:val="20"/>
          <w:bdr w:val="nil"/>
          <w:lang w:val="fr-BE"/>
        </w:rPr>
        <w:t xml:space="preserve">conjointe </w:t>
      </w:r>
      <w:r w:rsidRPr="00774930">
        <w:rPr>
          <w:rFonts w:asciiTheme="majorHAnsi" w:eastAsia="Calibri" w:hAnsiTheme="majorHAnsi" w:cs="Calibri"/>
          <w:sz w:val="20"/>
          <w:szCs w:val="20"/>
          <w:bdr w:val="nil"/>
          <w:lang w:val="fr-BE"/>
        </w:rPr>
        <w:t xml:space="preserve">du 14 décembre 2017. </w:t>
      </w:r>
    </w:p>
    <w:p w:rsidR="00024093" w:rsidRPr="00774930" w:rsidRDefault="00024093" w:rsidP="00024093">
      <w:pPr>
        <w:spacing w:after="0" w:line="240" w:lineRule="auto"/>
        <w:jc w:val="both"/>
        <w:rPr>
          <w:rFonts w:asciiTheme="majorHAnsi" w:eastAsia="Calibri" w:hAnsiTheme="majorHAnsi" w:cs="Times New Roman"/>
          <w:sz w:val="20"/>
          <w:szCs w:val="20"/>
          <w:lang w:val="fr-BE"/>
        </w:rPr>
      </w:pPr>
      <w:r w:rsidRPr="00774930">
        <w:rPr>
          <w:rFonts w:asciiTheme="majorHAnsi" w:eastAsia="Calibri" w:hAnsiTheme="majorHAnsi" w:cs="Calibri"/>
          <w:sz w:val="20"/>
          <w:szCs w:val="20"/>
          <w:bdr w:val="nil"/>
          <w:lang w:val="fr-BE"/>
        </w:rPr>
        <w:t xml:space="preserve">En cas de dépassement de la limite des 150 % du montant de l’indemnité parlementaire, une réduction à due concurrence est opérée </w:t>
      </w:r>
      <w:r w:rsidRPr="00774930">
        <w:rPr>
          <w:rFonts w:asciiTheme="majorHAnsi" w:eastAsia="Calibri" w:hAnsiTheme="majorHAnsi" w:cs="Calibri"/>
          <w:sz w:val="20"/>
          <w:szCs w:val="20"/>
          <w:u w:val="single"/>
          <w:bdr w:val="nil"/>
          <w:lang w:val="fr-BE"/>
        </w:rPr>
        <w:t>uniquement</w:t>
      </w:r>
      <w:r w:rsidRPr="00774930">
        <w:rPr>
          <w:rFonts w:asciiTheme="majorHAnsi" w:eastAsia="Calibri" w:hAnsiTheme="majorHAnsi" w:cs="Calibri"/>
          <w:sz w:val="20"/>
          <w:szCs w:val="20"/>
          <w:bdr w:val="nil"/>
          <w:lang w:val="fr-BE"/>
        </w:rPr>
        <w:t xml:space="preserve"> sur les rémunérations, indemnités, traitements ou jetons de présence et avantages de toute nature perçus en contrepartie de l’exercice d’un mandat visé à l’article 2, § 1</w:t>
      </w:r>
      <w:r w:rsidRPr="00774930">
        <w:rPr>
          <w:rFonts w:asciiTheme="majorHAnsi" w:eastAsia="Calibri" w:hAnsiTheme="majorHAnsi" w:cs="Calibri"/>
          <w:sz w:val="20"/>
          <w:szCs w:val="20"/>
          <w:bdr w:val="nil"/>
          <w:vertAlign w:val="superscript"/>
          <w:lang w:val="fr-BE"/>
        </w:rPr>
        <w:t>er</w:t>
      </w:r>
      <w:r w:rsidRPr="00774930">
        <w:rPr>
          <w:rFonts w:asciiTheme="majorHAnsi" w:eastAsia="Calibri" w:hAnsiTheme="majorHAnsi" w:cs="Calibri"/>
          <w:sz w:val="20"/>
          <w:szCs w:val="20"/>
          <w:bdr w:val="nil"/>
          <w:lang w:val="fr-BE"/>
        </w:rPr>
        <w:t xml:space="preserve">, alinéa 2 </w:t>
      </w:r>
      <w:r w:rsidRPr="00774930">
        <w:rPr>
          <w:rFonts w:asciiTheme="majorHAnsi" w:eastAsia="Calibri" w:hAnsiTheme="majorHAnsi" w:cs="Times New Roman"/>
          <w:sz w:val="20"/>
          <w:szCs w:val="20"/>
          <w:vertAlign w:val="superscript"/>
          <w:lang w:val="fr-BE"/>
        </w:rPr>
        <w:footnoteReference w:id="1"/>
      </w:r>
      <w:r w:rsidRPr="00774930">
        <w:rPr>
          <w:rFonts w:asciiTheme="majorHAnsi" w:eastAsia="Calibri" w:hAnsiTheme="majorHAnsi" w:cs="Calibri"/>
          <w:sz w:val="20"/>
          <w:szCs w:val="20"/>
          <w:bdr w:val="nil"/>
          <w:lang w:val="fr-BE"/>
        </w:rPr>
        <w:t>, selon les modalités suivantes :</w:t>
      </w:r>
    </w:p>
    <w:p w:rsidR="00024093" w:rsidRPr="00774930" w:rsidRDefault="00024093" w:rsidP="00024093">
      <w:pPr>
        <w:numPr>
          <w:ilvl w:val="0"/>
          <w:numId w:val="3"/>
        </w:numPr>
        <w:spacing w:before="160" w:line="240" w:lineRule="auto"/>
        <w:ind w:left="357" w:hanging="357"/>
        <w:jc w:val="both"/>
        <w:rPr>
          <w:rFonts w:asciiTheme="majorHAnsi" w:eastAsia="Calibri" w:hAnsiTheme="majorHAnsi" w:cs="Times New Roman"/>
          <w:sz w:val="20"/>
          <w:szCs w:val="20"/>
          <w:lang w:val="fr-BE"/>
        </w:rPr>
      </w:pPr>
      <w:r w:rsidRPr="00774930">
        <w:rPr>
          <w:rFonts w:asciiTheme="majorHAnsi" w:eastAsia="Calibri" w:hAnsiTheme="majorHAnsi" w:cs="Calibri"/>
          <w:sz w:val="20"/>
          <w:szCs w:val="20"/>
          <w:bdr w:val="nil"/>
          <w:lang w:val="fr-BE"/>
        </w:rPr>
        <w:t xml:space="preserve">la réduction s’opère </w:t>
      </w:r>
      <w:r w:rsidRPr="00774930">
        <w:rPr>
          <w:rFonts w:asciiTheme="majorHAnsi" w:eastAsia="Calibri" w:hAnsiTheme="majorHAnsi" w:cs="Calibri"/>
          <w:sz w:val="20"/>
          <w:szCs w:val="20"/>
          <w:u w:val="single"/>
          <w:bdr w:val="nil"/>
          <w:lang w:val="fr-BE"/>
        </w:rPr>
        <w:t>prioritairement</w:t>
      </w:r>
      <w:r w:rsidRPr="00774930">
        <w:rPr>
          <w:rFonts w:asciiTheme="majorHAnsi" w:eastAsia="Calibri" w:hAnsiTheme="majorHAnsi" w:cs="Calibri"/>
          <w:sz w:val="20"/>
          <w:szCs w:val="20"/>
          <w:bdr w:val="nil"/>
          <w:lang w:val="fr-BE"/>
        </w:rPr>
        <w:t xml:space="preserve"> et à </w:t>
      </w:r>
      <w:r w:rsidRPr="00774930">
        <w:rPr>
          <w:rFonts w:asciiTheme="majorHAnsi" w:eastAsia="Calibri" w:hAnsiTheme="majorHAnsi" w:cs="Calibri"/>
          <w:sz w:val="20"/>
          <w:szCs w:val="20"/>
          <w:u w:val="single"/>
          <w:bdr w:val="nil"/>
          <w:lang w:val="fr-BE"/>
        </w:rPr>
        <w:t>due concurrence</w:t>
      </w:r>
      <w:r w:rsidRPr="00774930">
        <w:rPr>
          <w:rFonts w:asciiTheme="majorHAnsi" w:eastAsia="Calibri" w:hAnsiTheme="majorHAnsi" w:cs="Calibri"/>
          <w:sz w:val="20"/>
          <w:szCs w:val="20"/>
          <w:bdr w:val="nil"/>
          <w:lang w:val="fr-BE"/>
        </w:rPr>
        <w:t xml:space="preserve"> sur les rémunérations, indemnités, traitements ou jetons de présence et avantages de toute nature perçus en contrepartie de l’exercice d’un mandat visé à l’article 2, § 1</w:t>
      </w:r>
      <w:r w:rsidRPr="00774930">
        <w:rPr>
          <w:rFonts w:asciiTheme="majorHAnsi" w:eastAsia="Calibri" w:hAnsiTheme="majorHAnsi" w:cs="Calibri"/>
          <w:sz w:val="20"/>
          <w:szCs w:val="20"/>
          <w:bdr w:val="nil"/>
          <w:vertAlign w:val="superscript"/>
          <w:lang w:val="fr-BE"/>
        </w:rPr>
        <w:t>er</w:t>
      </w:r>
      <w:r w:rsidRPr="00774930">
        <w:rPr>
          <w:rFonts w:asciiTheme="majorHAnsi" w:eastAsia="Calibri" w:hAnsiTheme="majorHAnsi" w:cs="Calibri"/>
          <w:sz w:val="20"/>
          <w:szCs w:val="20"/>
          <w:bdr w:val="nil"/>
          <w:lang w:val="fr-BE"/>
        </w:rPr>
        <w:t xml:space="preserve">, alinéa 2, tirets 1 à 4 </w:t>
      </w:r>
      <w:r w:rsidRPr="00774930">
        <w:rPr>
          <w:rFonts w:asciiTheme="majorHAnsi" w:eastAsia="Calibri" w:hAnsiTheme="majorHAnsi" w:cs="Times New Roman"/>
          <w:sz w:val="20"/>
          <w:szCs w:val="20"/>
          <w:vertAlign w:val="superscript"/>
          <w:lang w:val="fr-BE"/>
        </w:rPr>
        <w:footnoteReference w:id="2"/>
      </w:r>
      <w:r w:rsidRPr="00774930">
        <w:rPr>
          <w:rFonts w:asciiTheme="majorHAnsi" w:eastAsia="Calibri" w:hAnsiTheme="majorHAnsi" w:cs="Calibri"/>
          <w:sz w:val="20"/>
          <w:szCs w:val="20"/>
          <w:bdr w:val="nil"/>
          <w:lang w:val="fr-BE"/>
        </w:rPr>
        <w:t>. Cette réduction s’opère uniquement sur la partie de ces rémunérations, indemnités, traitements ou jetons de présence et avantages de toute nature excédant 50 % du montant de l’indemnité parlementaire perçue par les membres de la Chambre des représentants ;</w:t>
      </w:r>
    </w:p>
    <w:p w:rsidR="00024093" w:rsidRPr="00024093" w:rsidRDefault="00024093" w:rsidP="00024093">
      <w:pPr>
        <w:numPr>
          <w:ilvl w:val="0"/>
          <w:numId w:val="3"/>
        </w:numPr>
        <w:autoSpaceDE w:val="0"/>
        <w:autoSpaceDN w:val="0"/>
        <w:adjustRightInd w:val="0"/>
        <w:spacing w:before="160" w:after="0" w:line="240" w:lineRule="auto"/>
        <w:ind w:left="357" w:hanging="357"/>
        <w:jc w:val="both"/>
        <w:rPr>
          <w:rFonts w:asciiTheme="majorHAnsi" w:hAnsiTheme="majorHAnsi" w:cs="Constantia"/>
          <w:b/>
          <w:color w:val="000000"/>
          <w:sz w:val="20"/>
          <w:szCs w:val="20"/>
          <w:lang w:val="fr-BE"/>
        </w:rPr>
      </w:pPr>
      <w:r w:rsidRPr="00024093">
        <w:rPr>
          <w:rFonts w:asciiTheme="majorHAnsi" w:eastAsia="Calibri" w:hAnsiTheme="majorHAnsi" w:cs="Calibri"/>
          <w:sz w:val="20"/>
          <w:szCs w:val="20"/>
          <w:bdr w:val="nil"/>
          <w:lang w:val="fr-BE"/>
        </w:rPr>
        <w:t xml:space="preserve">le cas échéant, la réduction s’opère à </w:t>
      </w:r>
      <w:r w:rsidRPr="00024093">
        <w:rPr>
          <w:rFonts w:asciiTheme="majorHAnsi" w:eastAsia="Calibri" w:hAnsiTheme="majorHAnsi" w:cs="Calibri"/>
          <w:sz w:val="20"/>
          <w:szCs w:val="20"/>
          <w:u w:val="single"/>
          <w:bdr w:val="nil"/>
          <w:lang w:val="fr-BE"/>
        </w:rPr>
        <w:t>due concurrence</w:t>
      </w:r>
      <w:r w:rsidRPr="00024093">
        <w:rPr>
          <w:rFonts w:asciiTheme="majorHAnsi" w:eastAsia="Calibri" w:hAnsiTheme="majorHAnsi" w:cs="Calibri"/>
          <w:sz w:val="20"/>
          <w:szCs w:val="20"/>
          <w:bdr w:val="nil"/>
          <w:lang w:val="fr-BE"/>
        </w:rPr>
        <w:t xml:space="preserve"> sur les rémunérations, indemnités, traitements ou jetons de présence et avantages de toute nature perçus en contrepartie de l’exercice d’un mandat visé à l’article 2, § 1</w:t>
      </w:r>
      <w:r w:rsidRPr="00024093">
        <w:rPr>
          <w:rFonts w:asciiTheme="majorHAnsi" w:eastAsia="Calibri" w:hAnsiTheme="majorHAnsi" w:cs="Calibri"/>
          <w:sz w:val="20"/>
          <w:szCs w:val="20"/>
          <w:bdr w:val="nil"/>
          <w:vertAlign w:val="superscript"/>
          <w:lang w:val="fr-BE"/>
        </w:rPr>
        <w:t>er</w:t>
      </w:r>
      <w:r w:rsidRPr="00024093">
        <w:rPr>
          <w:rFonts w:asciiTheme="majorHAnsi" w:eastAsia="Calibri" w:hAnsiTheme="majorHAnsi" w:cs="Calibri"/>
          <w:sz w:val="20"/>
          <w:szCs w:val="20"/>
          <w:bdr w:val="nil"/>
          <w:lang w:val="fr-BE"/>
        </w:rPr>
        <w:t xml:space="preserve">, alinéa 2, tirets 5 à 8 </w:t>
      </w:r>
      <w:r w:rsidRPr="00774930">
        <w:rPr>
          <w:rFonts w:asciiTheme="majorHAnsi" w:eastAsia="Calibri" w:hAnsiTheme="majorHAnsi" w:cs="Calibri"/>
          <w:sz w:val="20"/>
          <w:szCs w:val="20"/>
          <w:bdr w:val="nil"/>
          <w:vertAlign w:val="superscript"/>
          <w:lang w:val="fr-BE"/>
        </w:rPr>
        <w:footnoteReference w:id="3"/>
      </w:r>
      <w:r w:rsidRPr="00024093">
        <w:rPr>
          <w:rFonts w:asciiTheme="majorHAnsi" w:eastAsia="Calibri" w:hAnsiTheme="majorHAnsi" w:cs="Calibri"/>
          <w:sz w:val="20"/>
          <w:szCs w:val="20"/>
          <w:bdr w:val="nil"/>
          <w:vertAlign w:val="subscript"/>
          <w:lang w:val="fr-BE"/>
        </w:rPr>
        <w:t>.</w:t>
      </w:r>
      <w:r w:rsidRPr="00024093">
        <w:rPr>
          <w:rFonts w:asciiTheme="majorHAnsi" w:eastAsia="Calibri" w:hAnsiTheme="majorHAnsi" w:cs="Calibri"/>
          <w:sz w:val="20"/>
          <w:szCs w:val="20"/>
          <w:bdr w:val="nil"/>
          <w:lang w:val="fr-BE"/>
        </w:rPr>
        <w:t xml:space="preserve"> Cette réduction </w:t>
      </w:r>
      <w:r w:rsidRPr="00024093">
        <w:rPr>
          <w:rFonts w:asciiTheme="majorHAnsi" w:eastAsia="Calibri" w:hAnsiTheme="majorHAnsi" w:cs="Calibri"/>
          <w:sz w:val="20"/>
          <w:szCs w:val="20"/>
          <w:u w:val="single"/>
          <w:bdr w:val="nil"/>
          <w:lang w:val="fr-BE"/>
        </w:rPr>
        <w:t>n’est pas limitée.</w:t>
      </w:r>
    </w:p>
    <w:p w:rsidR="00024093" w:rsidRDefault="00024093" w:rsidP="00024093">
      <w:pPr>
        <w:autoSpaceDE w:val="0"/>
        <w:autoSpaceDN w:val="0"/>
        <w:adjustRightInd w:val="0"/>
        <w:spacing w:before="160" w:after="0" w:line="240" w:lineRule="auto"/>
        <w:jc w:val="both"/>
        <w:rPr>
          <w:rFonts w:asciiTheme="majorHAnsi" w:hAnsiTheme="majorHAnsi" w:cs="Constantia"/>
          <w:b/>
          <w:color w:val="000000"/>
          <w:sz w:val="20"/>
          <w:szCs w:val="20"/>
          <w:lang w:val="fr-BE"/>
        </w:rPr>
      </w:pPr>
    </w:p>
    <w:p w:rsidR="00024093" w:rsidRDefault="00024093" w:rsidP="00024093">
      <w:pPr>
        <w:autoSpaceDE w:val="0"/>
        <w:autoSpaceDN w:val="0"/>
        <w:adjustRightInd w:val="0"/>
        <w:spacing w:before="160" w:after="0" w:line="240" w:lineRule="auto"/>
        <w:jc w:val="both"/>
        <w:rPr>
          <w:rFonts w:asciiTheme="majorHAnsi" w:hAnsiTheme="majorHAnsi" w:cs="Constantia"/>
          <w:b/>
          <w:color w:val="000000"/>
          <w:sz w:val="20"/>
          <w:szCs w:val="20"/>
          <w:lang w:val="fr-BE"/>
        </w:rPr>
      </w:pPr>
    </w:p>
    <w:p w:rsidR="00024093" w:rsidRDefault="00024093" w:rsidP="00024093">
      <w:pPr>
        <w:autoSpaceDE w:val="0"/>
        <w:autoSpaceDN w:val="0"/>
        <w:adjustRightInd w:val="0"/>
        <w:spacing w:before="160" w:after="0" w:line="240" w:lineRule="auto"/>
        <w:jc w:val="both"/>
        <w:rPr>
          <w:rFonts w:asciiTheme="majorHAnsi" w:hAnsiTheme="majorHAnsi" w:cs="Constantia"/>
          <w:b/>
          <w:color w:val="000000"/>
          <w:sz w:val="20"/>
          <w:szCs w:val="20"/>
          <w:lang w:val="fr-BE"/>
        </w:rPr>
      </w:pPr>
    </w:p>
    <w:p w:rsidR="00024093" w:rsidRDefault="00024093" w:rsidP="00024093">
      <w:pPr>
        <w:autoSpaceDE w:val="0"/>
        <w:autoSpaceDN w:val="0"/>
        <w:adjustRightInd w:val="0"/>
        <w:spacing w:before="160" w:after="0" w:line="240" w:lineRule="auto"/>
        <w:jc w:val="both"/>
        <w:rPr>
          <w:rFonts w:asciiTheme="majorHAnsi" w:hAnsiTheme="majorHAnsi" w:cs="Constantia"/>
          <w:b/>
          <w:color w:val="000000"/>
          <w:sz w:val="20"/>
          <w:szCs w:val="20"/>
          <w:lang w:val="fr-BE"/>
        </w:rPr>
      </w:pPr>
    </w:p>
    <w:p w:rsidR="00024093" w:rsidRDefault="00024093" w:rsidP="00024093">
      <w:pPr>
        <w:autoSpaceDE w:val="0"/>
        <w:autoSpaceDN w:val="0"/>
        <w:adjustRightInd w:val="0"/>
        <w:spacing w:before="160" w:after="0" w:line="240" w:lineRule="auto"/>
        <w:jc w:val="both"/>
        <w:rPr>
          <w:rFonts w:asciiTheme="majorHAnsi" w:hAnsiTheme="majorHAnsi" w:cs="Constantia"/>
          <w:b/>
          <w:color w:val="000000"/>
          <w:sz w:val="20"/>
          <w:szCs w:val="20"/>
          <w:lang w:val="fr-BE"/>
        </w:rPr>
      </w:pPr>
    </w:p>
    <w:p w:rsidR="00024093" w:rsidRDefault="00024093" w:rsidP="00024093">
      <w:pPr>
        <w:autoSpaceDE w:val="0"/>
        <w:autoSpaceDN w:val="0"/>
        <w:adjustRightInd w:val="0"/>
        <w:spacing w:before="160" w:after="0" w:line="240" w:lineRule="auto"/>
        <w:jc w:val="both"/>
        <w:rPr>
          <w:rFonts w:asciiTheme="majorHAnsi" w:hAnsiTheme="majorHAnsi" w:cs="Constantia"/>
          <w:b/>
          <w:color w:val="000000"/>
          <w:sz w:val="20"/>
          <w:szCs w:val="20"/>
          <w:lang w:val="fr-BE"/>
        </w:rPr>
      </w:pPr>
    </w:p>
    <w:p w:rsidR="00024093" w:rsidRPr="00024093" w:rsidRDefault="00024093" w:rsidP="00024093">
      <w:pPr>
        <w:autoSpaceDE w:val="0"/>
        <w:autoSpaceDN w:val="0"/>
        <w:adjustRightInd w:val="0"/>
        <w:spacing w:before="160" w:after="0" w:line="240" w:lineRule="auto"/>
        <w:jc w:val="both"/>
        <w:rPr>
          <w:rFonts w:asciiTheme="majorHAnsi" w:hAnsiTheme="majorHAnsi" w:cs="Constantia"/>
          <w:b/>
          <w:color w:val="000000"/>
          <w:sz w:val="20"/>
          <w:szCs w:val="20"/>
          <w:lang w:val="fr-BE"/>
        </w:rPr>
      </w:pPr>
      <w:r w:rsidRPr="00024093">
        <w:rPr>
          <w:rFonts w:asciiTheme="majorHAnsi" w:hAnsiTheme="majorHAnsi" w:cs="Constantia"/>
          <w:b/>
          <w:color w:val="000000"/>
          <w:sz w:val="20"/>
          <w:szCs w:val="20"/>
          <w:lang w:val="fr-BE"/>
        </w:rPr>
        <w:lastRenderedPageBreak/>
        <w:t>Liste des voyages des mandataires publics – article 7, § 1</w:t>
      </w:r>
      <w:r w:rsidRPr="00024093">
        <w:rPr>
          <w:rFonts w:asciiTheme="majorHAnsi" w:hAnsiTheme="majorHAnsi" w:cs="Constantia"/>
          <w:b/>
          <w:color w:val="000000"/>
          <w:sz w:val="20"/>
          <w:szCs w:val="20"/>
          <w:vertAlign w:val="superscript"/>
          <w:lang w:val="fr-BE"/>
        </w:rPr>
        <w:t>er</w:t>
      </w:r>
      <w:r w:rsidRPr="00024093">
        <w:rPr>
          <w:rFonts w:asciiTheme="majorHAnsi" w:hAnsiTheme="majorHAnsi" w:cs="Constantia"/>
          <w:b/>
          <w:color w:val="000000"/>
          <w:sz w:val="20"/>
          <w:szCs w:val="20"/>
          <w:lang w:val="fr-BE"/>
        </w:rPr>
        <w:t>, de l’ordonnance conjointe du 14 décembre 2017</w:t>
      </w:r>
    </w:p>
    <w:p w:rsidR="00024093" w:rsidRPr="00774930"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Tabelraster"/>
        <w:tblW w:w="14270" w:type="dxa"/>
        <w:tblInd w:w="-5" w:type="dxa"/>
        <w:tblLayout w:type="fixed"/>
        <w:tblLook w:val="04A0" w:firstRow="1" w:lastRow="0" w:firstColumn="1" w:lastColumn="0" w:noHBand="0" w:noVBand="1"/>
      </w:tblPr>
      <w:tblGrid>
        <w:gridCol w:w="2694"/>
        <w:gridCol w:w="1134"/>
        <w:gridCol w:w="1275"/>
        <w:gridCol w:w="2694"/>
        <w:gridCol w:w="3402"/>
        <w:gridCol w:w="1275"/>
        <w:gridCol w:w="1796"/>
      </w:tblGrid>
      <w:tr w:rsidR="00024093" w:rsidRPr="00024093" w:rsidTr="004933FA">
        <w:tc>
          <w:tcPr>
            <w:tcW w:w="2694"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Voyage</w:t>
            </w:r>
          </w:p>
        </w:tc>
        <w:tc>
          <w:tcPr>
            <w:tcW w:w="1134"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du voyage</w:t>
            </w:r>
          </w:p>
        </w:tc>
        <w:tc>
          <w:tcPr>
            <w:tcW w:w="1275"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Montant</w:t>
            </w:r>
          </w:p>
        </w:tc>
        <w:tc>
          <w:tcPr>
            <w:tcW w:w="2694"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Organisateur</w:t>
            </w:r>
          </w:p>
        </w:tc>
        <w:tc>
          <w:tcPr>
            <w:tcW w:w="3402"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Mandataire concerné</w:t>
            </w:r>
          </w:p>
        </w:tc>
        <w:tc>
          <w:tcPr>
            <w:tcW w:w="1275"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décision motivée de l’organe compétent</w:t>
            </w:r>
          </w:p>
        </w:tc>
        <w:tc>
          <w:tcPr>
            <w:tcW w:w="1796"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d’approbation par le Gouvernement, Collège réuni ou tutelle générale</w:t>
            </w:r>
          </w:p>
        </w:tc>
      </w:tr>
      <w:tr w:rsidR="00024093" w:rsidRPr="00024093" w:rsidTr="004933FA">
        <w:trPr>
          <w:trHeight w:val="567"/>
        </w:trPr>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3402"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79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024093" w:rsidTr="004933FA">
        <w:trPr>
          <w:trHeight w:val="567"/>
        </w:trPr>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3402"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79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024093" w:rsidTr="004933FA">
        <w:trPr>
          <w:trHeight w:val="567"/>
        </w:trPr>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3402"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79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024093" w:rsidTr="004933FA">
        <w:trPr>
          <w:trHeight w:val="567"/>
        </w:trPr>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3402"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79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024093" w:rsidTr="004933FA">
        <w:trPr>
          <w:trHeight w:val="567"/>
        </w:trPr>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3402"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79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024093" w:rsidTr="004933FA">
        <w:trPr>
          <w:trHeight w:val="567"/>
        </w:trPr>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3402"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79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024093" w:rsidTr="004933FA">
        <w:trPr>
          <w:trHeight w:val="567"/>
        </w:trPr>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3402"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79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024093" w:rsidTr="004933FA">
        <w:trPr>
          <w:trHeight w:val="567"/>
        </w:trPr>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3402"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79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024093" w:rsidTr="004933FA">
        <w:trPr>
          <w:trHeight w:val="567"/>
        </w:trPr>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3402"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79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024093" w:rsidTr="004933FA">
        <w:trPr>
          <w:trHeight w:val="567"/>
        </w:trPr>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3402"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79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024093" w:rsidTr="004933FA">
        <w:trPr>
          <w:trHeight w:val="567"/>
        </w:trPr>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3402"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79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024093" w:rsidTr="004933FA">
        <w:trPr>
          <w:trHeight w:val="567"/>
        </w:trPr>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2694"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3402"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275"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79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bl>
    <w:p w:rsidR="00024093" w:rsidRPr="00774930" w:rsidRDefault="00024093" w:rsidP="00024093">
      <w:pPr>
        <w:autoSpaceDE w:val="0"/>
        <w:autoSpaceDN w:val="0"/>
        <w:adjustRightInd w:val="0"/>
        <w:spacing w:after="0" w:line="240" w:lineRule="auto"/>
        <w:jc w:val="both"/>
        <w:rPr>
          <w:rFonts w:asciiTheme="majorHAnsi" w:hAnsiTheme="majorHAnsi" w:cs="Constantia"/>
          <w:b/>
          <w:color w:val="000000"/>
          <w:sz w:val="20"/>
          <w:szCs w:val="20"/>
          <w:lang w:val="fr-BE"/>
        </w:rPr>
      </w:pPr>
      <w:r w:rsidRPr="00774930">
        <w:rPr>
          <w:rFonts w:asciiTheme="majorHAnsi" w:hAnsiTheme="majorHAnsi" w:cs="Constantia"/>
          <w:b/>
          <w:color w:val="000000"/>
          <w:sz w:val="20"/>
          <w:szCs w:val="20"/>
          <w:lang w:val="fr-BE"/>
        </w:rPr>
        <w:lastRenderedPageBreak/>
        <w:t>Inventaire des marchés publics – article 7, § 1</w:t>
      </w:r>
      <w:r w:rsidRPr="00774930">
        <w:rPr>
          <w:rFonts w:asciiTheme="majorHAnsi" w:hAnsiTheme="majorHAnsi" w:cs="Constantia"/>
          <w:b/>
          <w:color w:val="000000"/>
          <w:sz w:val="20"/>
          <w:szCs w:val="20"/>
          <w:vertAlign w:val="superscript"/>
          <w:lang w:val="fr-BE"/>
        </w:rPr>
        <w:t>er</w:t>
      </w:r>
      <w:r w:rsidRPr="00774930">
        <w:rPr>
          <w:rFonts w:asciiTheme="majorHAnsi" w:hAnsiTheme="majorHAnsi" w:cs="Constantia"/>
          <w:b/>
          <w:color w:val="000000"/>
          <w:sz w:val="20"/>
          <w:szCs w:val="20"/>
          <w:lang w:val="fr-BE"/>
        </w:rPr>
        <w:t xml:space="preserve">, de l’ordonnance </w:t>
      </w:r>
      <w:r>
        <w:rPr>
          <w:rFonts w:asciiTheme="majorHAnsi" w:hAnsiTheme="majorHAnsi" w:cs="Constantia"/>
          <w:b/>
          <w:color w:val="000000"/>
          <w:sz w:val="20"/>
          <w:szCs w:val="20"/>
          <w:lang w:val="fr-BE"/>
        </w:rPr>
        <w:t xml:space="preserve">conjointe </w:t>
      </w:r>
      <w:r w:rsidRPr="00774930">
        <w:rPr>
          <w:rFonts w:asciiTheme="majorHAnsi" w:hAnsiTheme="majorHAnsi" w:cs="Constantia"/>
          <w:b/>
          <w:color w:val="000000"/>
          <w:sz w:val="20"/>
          <w:szCs w:val="20"/>
          <w:lang w:val="fr-BE"/>
        </w:rPr>
        <w:t>du 14 décembre 2017</w:t>
      </w:r>
    </w:p>
    <w:p w:rsidR="00024093" w:rsidRPr="00774930"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Tabelraster"/>
        <w:tblW w:w="14270" w:type="dxa"/>
        <w:tblInd w:w="-5" w:type="dxa"/>
        <w:tblLayout w:type="fixed"/>
        <w:tblLook w:val="04A0" w:firstRow="1" w:lastRow="0" w:firstColumn="1" w:lastColumn="0" w:noHBand="0" w:noVBand="1"/>
      </w:tblPr>
      <w:tblGrid>
        <w:gridCol w:w="7088"/>
        <w:gridCol w:w="1417"/>
        <w:gridCol w:w="4111"/>
        <w:gridCol w:w="1654"/>
      </w:tblGrid>
      <w:tr w:rsidR="00024093" w:rsidRPr="00774930" w:rsidTr="004933FA">
        <w:tc>
          <w:tcPr>
            <w:tcW w:w="7088"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Type de marché</w:t>
            </w:r>
          </w:p>
        </w:tc>
        <w:tc>
          <w:tcPr>
            <w:tcW w:w="1417"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du marché</w:t>
            </w:r>
          </w:p>
        </w:tc>
        <w:tc>
          <w:tcPr>
            <w:tcW w:w="4111"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Bénéficiaires</w:t>
            </w:r>
          </w:p>
        </w:tc>
        <w:tc>
          <w:tcPr>
            <w:tcW w:w="1654"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Montants</w:t>
            </w: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r w:rsidR="00024093" w:rsidRPr="004F4DBD" w:rsidTr="004933FA">
        <w:trPr>
          <w:trHeight w:val="567"/>
        </w:trPr>
        <w:tc>
          <w:tcPr>
            <w:tcW w:w="7088"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417"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4111"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65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r>
    </w:tbl>
    <w:p w:rsidR="00024093" w:rsidRPr="00774930"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p>
    <w:p w:rsidR="00024093" w:rsidRDefault="00024093" w:rsidP="00024093">
      <w:pPr>
        <w:autoSpaceDE w:val="0"/>
        <w:autoSpaceDN w:val="0"/>
        <w:adjustRightInd w:val="0"/>
        <w:spacing w:after="0" w:line="240" w:lineRule="auto"/>
        <w:rPr>
          <w:rFonts w:asciiTheme="majorHAnsi" w:hAnsiTheme="majorHAnsi" w:cs="Constantia"/>
          <w:b/>
          <w:color w:val="000000"/>
          <w:sz w:val="20"/>
          <w:szCs w:val="20"/>
          <w:lang w:val="fr-BE"/>
        </w:rPr>
      </w:pPr>
    </w:p>
    <w:p w:rsidR="00024093" w:rsidRPr="00774930" w:rsidRDefault="00024093" w:rsidP="00024093">
      <w:pPr>
        <w:autoSpaceDE w:val="0"/>
        <w:autoSpaceDN w:val="0"/>
        <w:adjustRightInd w:val="0"/>
        <w:spacing w:after="0" w:line="240" w:lineRule="auto"/>
        <w:rPr>
          <w:rFonts w:asciiTheme="majorHAnsi" w:hAnsiTheme="majorHAnsi" w:cs="Constantia"/>
          <w:b/>
          <w:color w:val="000000"/>
          <w:sz w:val="20"/>
          <w:szCs w:val="20"/>
          <w:lang w:val="fr-BE"/>
        </w:rPr>
      </w:pPr>
      <w:r w:rsidRPr="00774930">
        <w:rPr>
          <w:rFonts w:asciiTheme="majorHAnsi" w:hAnsiTheme="majorHAnsi" w:cs="Constantia"/>
          <w:b/>
          <w:color w:val="000000"/>
          <w:sz w:val="20"/>
          <w:szCs w:val="20"/>
          <w:lang w:val="fr-BE"/>
        </w:rPr>
        <w:lastRenderedPageBreak/>
        <w:t>Liste des subsides octroyés – article 7, § 1</w:t>
      </w:r>
      <w:r w:rsidRPr="00774930">
        <w:rPr>
          <w:rFonts w:asciiTheme="majorHAnsi" w:hAnsiTheme="majorHAnsi" w:cs="Constantia"/>
          <w:b/>
          <w:color w:val="000000"/>
          <w:sz w:val="20"/>
          <w:szCs w:val="20"/>
          <w:vertAlign w:val="superscript"/>
          <w:lang w:val="fr-BE"/>
        </w:rPr>
        <w:t>er</w:t>
      </w:r>
      <w:r w:rsidRPr="00774930">
        <w:rPr>
          <w:rFonts w:asciiTheme="majorHAnsi" w:hAnsiTheme="majorHAnsi" w:cs="Constantia"/>
          <w:b/>
          <w:color w:val="000000"/>
          <w:sz w:val="20"/>
          <w:szCs w:val="20"/>
          <w:lang w:val="fr-BE"/>
        </w:rPr>
        <w:t xml:space="preserve">, de l’ordonnance </w:t>
      </w:r>
      <w:r>
        <w:rPr>
          <w:rFonts w:asciiTheme="majorHAnsi" w:hAnsiTheme="majorHAnsi" w:cs="Constantia"/>
          <w:b/>
          <w:color w:val="000000"/>
          <w:sz w:val="20"/>
          <w:szCs w:val="20"/>
          <w:lang w:val="fr-BE"/>
        </w:rPr>
        <w:t xml:space="preserve">conjointe </w:t>
      </w:r>
      <w:r w:rsidRPr="00774930">
        <w:rPr>
          <w:rFonts w:asciiTheme="majorHAnsi" w:hAnsiTheme="majorHAnsi" w:cs="Constantia"/>
          <w:b/>
          <w:color w:val="000000"/>
          <w:sz w:val="20"/>
          <w:szCs w:val="20"/>
          <w:lang w:val="fr-BE"/>
        </w:rPr>
        <w:t>du 14 décembre 2017</w:t>
      </w:r>
    </w:p>
    <w:p w:rsidR="00024093" w:rsidRPr="00774930" w:rsidRDefault="00024093" w:rsidP="00024093">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Tabelraster"/>
        <w:tblW w:w="14270" w:type="dxa"/>
        <w:tblInd w:w="-5" w:type="dxa"/>
        <w:tblLayout w:type="fixed"/>
        <w:tblLook w:val="04A0" w:firstRow="1" w:lastRow="0" w:firstColumn="1" w:lastColumn="0" w:noHBand="0" w:noVBand="1"/>
      </w:tblPr>
      <w:tblGrid>
        <w:gridCol w:w="5670"/>
        <w:gridCol w:w="1134"/>
        <w:gridCol w:w="1276"/>
        <w:gridCol w:w="6190"/>
      </w:tblGrid>
      <w:tr w:rsidR="00024093" w:rsidRPr="00774930" w:rsidTr="004933FA">
        <w:tc>
          <w:tcPr>
            <w:tcW w:w="5670"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Subside</w:t>
            </w:r>
          </w:p>
        </w:tc>
        <w:tc>
          <w:tcPr>
            <w:tcW w:w="1134"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w:t>
            </w:r>
          </w:p>
        </w:tc>
        <w:tc>
          <w:tcPr>
            <w:tcW w:w="1276"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Montant</w:t>
            </w:r>
          </w:p>
        </w:tc>
        <w:tc>
          <w:tcPr>
            <w:tcW w:w="6190" w:type="dxa"/>
            <w:shd w:val="clear" w:color="auto" w:fill="BFBFBF" w:themeFill="background1" w:themeFillShade="BF"/>
          </w:tcPr>
          <w:p w:rsidR="00024093" w:rsidRPr="00774930" w:rsidRDefault="00024093" w:rsidP="004933FA">
            <w:pPr>
              <w:pStyle w:val="Ondertitel"/>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Destinataire</w:t>
            </w: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r w:rsidR="00024093" w:rsidRPr="004F4DBD" w:rsidTr="004933FA">
        <w:trPr>
          <w:trHeight w:val="567"/>
        </w:trPr>
        <w:tc>
          <w:tcPr>
            <w:tcW w:w="5670" w:type="dxa"/>
          </w:tcPr>
          <w:p w:rsidR="00024093" w:rsidRPr="004F4DBD" w:rsidRDefault="00024093" w:rsidP="004933FA">
            <w:pPr>
              <w:autoSpaceDE w:val="0"/>
              <w:autoSpaceDN w:val="0"/>
              <w:adjustRightInd w:val="0"/>
              <w:rPr>
                <w:rFonts w:ascii="Arial" w:hAnsi="Arial" w:cs="Arial"/>
                <w:color w:val="000000"/>
                <w:sz w:val="20"/>
                <w:szCs w:val="20"/>
                <w:lang w:val="fr-BE"/>
              </w:rPr>
            </w:pPr>
          </w:p>
        </w:tc>
        <w:tc>
          <w:tcPr>
            <w:tcW w:w="1134"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1276" w:type="dxa"/>
          </w:tcPr>
          <w:p w:rsidR="00024093" w:rsidRPr="004F4DBD" w:rsidRDefault="00024093" w:rsidP="004933FA">
            <w:pPr>
              <w:autoSpaceDE w:val="0"/>
              <w:autoSpaceDN w:val="0"/>
              <w:adjustRightInd w:val="0"/>
              <w:jc w:val="center"/>
              <w:rPr>
                <w:rFonts w:ascii="Arial" w:hAnsi="Arial" w:cs="Arial"/>
                <w:color w:val="000000"/>
                <w:sz w:val="20"/>
                <w:szCs w:val="20"/>
                <w:lang w:val="fr-BE"/>
              </w:rPr>
            </w:pPr>
          </w:p>
        </w:tc>
        <w:tc>
          <w:tcPr>
            <w:tcW w:w="6190" w:type="dxa"/>
          </w:tcPr>
          <w:p w:rsidR="00024093" w:rsidRPr="004F4DBD" w:rsidRDefault="00024093" w:rsidP="004933FA">
            <w:pPr>
              <w:autoSpaceDE w:val="0"/>
              <w:autoSpaceDN w:val="0"/>
              <w:adjustRightInd w:val="0"/>
              <w:rPr>
                <w:rFonts w:ascii="Arial" w:hAnsi="Arial" w:cs="Arial"/>
                <w:color w:val="000000"/>
                <w:sz w:val="20"/>
                <w:szCs w:val="20"/>
                <w:lang w:val="fr-BE"/>
              </w:rPr>
            </w:pPr>
          </w:p>
        </w:tc>
      </w:tr>
    </w:tbl>
    <w:p w:rsidR="009B4711" w:rsidRDefault="009B4711" w:rsidP="00024093"/>
    <w:sectPr w:rsidR="009B4711" w:rsidSect="0002409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93" w:rsidRDefault="00024093" w:rsidP="00024093">
      <w:pPr>
        <w:spacing w:after="0" w:line="240" w:lineRule="auto"/>
      </w:pPr>
      <w:r>
        <w:separator/>
      </w:r>
    </w:p>
  </w:endnote>
  <w:endnote w:type="continuationSeparator" w:id="0">
    <w:p w:rsidR="00024093" w:rsidRDefault="00024093" w:rsidP="0002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441228"/>
      <w:docPartObj>
        <w:docPartGallery w:val="Page Numbers (Bottom of Page)"/>
        <w:docPartUnique/>
      </w:docPartObj>
    </w:sdtPr>
    <w:sdtContent>
      <w:p w:rsidR="00024093" w:rsidRPr="00024093" w:rsidRDefault="00024093">
        <w:pPr>
          <w:pStyle w:val="Voettekst"/>
          <w:rPr>
            <w:lang w:val="fr-BE"/>
          </w:rPr>
        </w:pPr>
        <w:r w:rsidRPr="00632182">
          <w:rPr>
            <w:lang w:val="fr-BE"/>
          </w:rPr>
          <w:t>Cellule Transparence des rémunérations – Vade-mecum</w:t>
        </w:r>
        <w:r w:rsidRPr="00632182">
          <w:rPr>
            <w:lang w:val="fr-BE"/>
          </w:rPr>
          <w:tab/>
        </w:r>
        <w:r w:rsidRPr="00582025">
          <w:rPr>
            <w:lang w:val="fr-BE"/>
          </w:rPr>
          <w:fldChar w:fldCharType="begin"/>
        </w:r>
        <w:r w:rsidRPr="00582025">
          <w:rPr>
            <w:lang w:val="fr-BE"/>
          </w:rPr>
          <w:instrText>PAGE   \* MERGEFORMAT</w:instrText>
        </w:r>
        <w:r w:rsidRPr="00582025">
          <w:rPr>
            <w:lang w:val="fr-BE"/>
          </w:rPr>
          <w:fldChar w:fldCharType="separate"/>
        </w:r>
        <w:r>
          <w:rPr>
            <w:noProof/>
            <w:lang w:val="fr-BE"/>
          </w:rPr>
          <w:t>1</w:t>
        </w:r>
        <w:r w:rsidRPr="00582025">
          <w:rPr>
            <w:lang w:val="fr-B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93" w:rsidRDefault="00024093" w:rsidP="00024093">
      <w:pPr>
        <w:spacing w:after="0" w:line="240" w:lineRule="auto"/>
      </w:pPr>
      <w:r>
        <w:separator/>
      </w:r>
    </w:p>
  </w:footnote>
  <w:footnote w:type="continuationSeparator" w:id="0">
    <w:p w:rsidR="00024093" w:rsidRDefault="00024093" w:rsidP="00024093">
      <w:pPr>
        <w:spacing w:after="0" w:line="240" w:lineRule="auto"/>
      </w:pPr>
      <w:r>
        <w:continuationSeparator/>
      </w:r>
    </w:p>
  </w:footnote>
  <w:footnote w:id="1">
    <w:p w:rsidR="00024093" w:rsidRPr="00892F64" w:rsidRDefault="00024093" w:rsidP="00024093">
      <w:pPr>
        <w:pStyle w:val="Voetnoottekst"/>
        <w:jc w:val="both"/>
        <w:rPr>
          <w:rFonts w:ascii="Constantia" w:hAnsi="Constantia"/>
          <w:i/>
          <w:sz w:val="16"/>
          <w:szCs w:val="16"/>
          <w:lang w:val="fr-BE"/>
        </w:rPr>
      </w:pPr>
      <w:r w:rsidRPr="009E50CB">
        <w:rPr>
          <w:rFonts w:ascii="Constantia" w:eastAsia="Calibri" w:hAnsi="Constantia" w:cs="Times New Roman"/>
          <w:sz w:val="16"/>
          <w:szCs w:val="16"/>
          <w:bdr w:val="nil"/>
          <w:vertAlign w:val="superscript"/>
        </w:rPr>
        <w:footnoteRef/>
      </w:r>
      <w:r w:rsidRPr="00892F64">
        <w:rPr>
          <w:rFonts w:ascii="Constantia" w:eastAsia="Calibri" w:hAnsi="Constantia" w:cs="Times New Roman"/>
          <w:sz w:val="16"/>
          <w:szCs w:val="16"/>
          <w:bdr w:val="nil"/>
          <w:lang w:val="fr-BE"/>
        </w:rPr>
        <w:t xml:space="preserve"> </w:t>
      </w:r>
      <w:r w:rsidRPr="00892F64">
        <w:rPr>
          <w:rFonts w:ascii="Constantia" w:hAnsi="Constantia"/>
          <w:i/>
          <w:sz w:val="16"/>
          <w:szCs w:val="16"/>
          <w:lang w:val="fr-BE"/>
        </w:rPr>
        <w:t>Il s’agit des bourgmestres, échevins, présidents et membres des bureaux permanents de CPAS, des conseillers communaux, des conseillers de CPAS, des membres d’organes d’administration, de gestion ou de conseil d’un organisme public régional ou local, des membres d’organes d’administration, de gestion ou de conseil d’un organisme public régional et local, des membres des organes d’administration, de gestion ou de conseil d’un organisme public bicommunautaire, de toute autre personne désignée par le Gouvernement et/ou le Collège réuni pour le représenter dans le conseil d’administration de toute structure dotée de la personnalité juridique.</w:t>
      </w:r>
    </w:p>
  </w:footnote>
  <w:footnote w:id="2">
    <w:p w:rsidR="00024093" w:rsidRPr="00073818" w:rsidRDefault="00024093" w:rsidP="00024093">
      <w:pPr>
        <w:pStyle w:val="Voetnoottekst"/>
        <w:rPr>
          <w:rFonts w:ascii="Constantia" w:hAnsi="Constantia"/>
          <w:i/>
          <w:sz w:val="16"/>
          <w:szCs w:val="16"/>
          <w:lang w:val="fr-BE"/>
        </w:rPr>
      </w:pPr>
      <w:r w:rsidRPr="009E50CB">
        <w:rPr>
          <w:rStyle w:val="Voetnootmarkering"/>
          <w:rFonts w:ascii="Constantia" w:hAnsi="Constantia"/>
          <w:sz w:val="16"/>
          <w:szCs w:val="16"/>
        </w:rPr>
        <w:footnoteRef/>
      </w:r>
      <w:r w:rsidRPr="00073818">
        <w:rPr>
          <w:rFonts w:ascii="Constantia" w:eastAsia="Calibri" w:hAnsi="Constantia" w:cs="Calibri"/>
          <w:sz w:val="16"/>
          <w:szCs w:val="16"/>
          <w:bdr w:val="nil"/>
          <w:lang w:val="fr-BE"/>
        </w:rPr>
        <w:t xml:space="preserve"> </w:t>
      </w:r>
      <w:r w:rsidRPr="00073818">
        <w:rPr>
          <w:rFonts w:ascii="Constantia" w:eastAsia="Calibri" w:hAnsi="Constantia" w:cs="Calibri"/>
          <w:i/>
          <w:iCs/>
          <w:sz w:val="16"/>
          <w:szCs w:val="16"/>
          <w:bdr w:val="nil"/>
          <w:lang w:val="fr-BE"/>
        </w:rPr>
        <w:t xml:space="preserve">Les mandats visés sont les suivants : </w:t>
      </w:r>
    </w:p>
    <w:p w:rsidR="00024093" w:rsidRPr="009E50CB" w:rsidRDefault="00024093" w:rsidP="00024093">
      <w:pPr>
        <w:pStyle w:val="Voetnoottekst"/>
        <w:numPr>
          <w:ilvl w:val="0"/>
          <w:numId w:val="1"/>
        </w:numPr>
        <w:rPr>
          <w:rFonts w:ascii="Constantia" w:hAnsi="Constantia"/>
          <w:i/>
          <w:sz w:val="16"/>
          <w:szCs w:val="16"/>
          <w:lang w:val="fr-BE"/>
        </w:rPr>
      </w:pPr>
      <w:r>
        <w:rPr>
          <w:rFonts w:ascii="Constantia" w:eastAsia="Calibri" w:hAnsi="Constantia" w:cs="Calibri"/>
          <w:i/>
          <w:iCs/>
          <w:sz w:val="16"/>
          <w:szCs w:val="16"/>
          <w:bdr w:val="nil"/>
          <w:lang w:val="fr-BE"/>
        </w:rPr>
        <w:t>les bourgmestres et échevins</w:t>
      </w:r>
    </w:p>
    <w:p w:rsidR="00024093" w:rsidRPr="00073818" w:rsidRDefault="00024093" w:rsidP="00024093">
      <w:pPr>
        <w:pStyle w:val="Voetnoottekst"/>
        <w:numPr>
          <w:ilvl w:val="0"/>
          <w:numId w:val="1"/>
        </w:numPr>
        <w:rPr>
          <w:rFonts w:ascii="Constantia" w:hAnsi="Constantia"/>
          <w:i/>
          <w:sz w:val="16"/>
          <w:szCs w:val="16"/>
          <w:lang w:val="fr-BE"/>
        </w:rPr>
      </w:pPr>
      <w:r w:rsidRPr="00073818">
        <w:rPr>
          <w:rFonts w:ascii="Constantia" w:eastAsia="Calibri" w:hAnsi="Constantia" w:cs="Calibri"/>
          <w:i/>
          <w:iCs/>
          <w:sz w:val="16"/>
          <w:szCs w:val="16"/>
          <w:bdr w:val="nil"/>
          <w:lang w:val="fr-BE"/>
        </w:rPr>
        <w:t>les présidents et membres des bureaux permanents de CPAS</w:t>
      </w:r>
    </w:p>
    <w:p w:rsidR="00024093" w:rsidRPr="009E50CB" w:rsidRDefault="00024093" w:rsidP="00024093">
      <w:pPr>
        <w:pStyle w:val="Voetnoottekst"/>
        <w:numPr>
          <w:ilvl w:val="0"/>
          <w:numId w:val="1"/>
        </w:numPr>
        <w:rPr>
          <w:rFonts w:ascii="Constantia" w:hAnsi="Constantia"/>
          <w:i/>
          <w:sz w:val="16"/>
          <w:szCs w:val="16"/>
          <w:lang w:val="fr-BE"/>
        </w:rPr>
      </w:pPr>
      <w:r>
        <w:rPr>
          <w:rFonts w:ascii="Constantia" w:eastAsia="Calibri" w:hAnsi="Constantia" w:cs="Calibri"/>
          <w:i/>
          <w:iCs/>
          <w:sz w:val="16"/>
          <w:szCs w:val="16"/>
          <w:bdr w:val="nil"/>
        </w:rPr>
        <w:t>les conseillers communaux</w:t>
      </w:r>
    </w:p>
    <w:p w:rsidR="00024093" w:rsidRPr="009E50CB" w:rsidRDefault="00024093" w:rsidP="00024093">
      <w:pPr>
        <w:pStyle w:val="Voetnoottekst"/>
        <w:numPr>
          <w:ilvl w:val="0"/>
          <w:numId w:val="1"/>
        </w:numPr>
        <w:rPr>
          <w:rFonts w:ascii="Constantia" w:hAnsi="Constantia"/>
          <w:sz w:val="16"/>
          <w:szCs w:val="16"/>
          <w:lang w:val="fr-BE"/>
        </w:rPr>
      </w:pPr>
      <w:r>
        <w:rPr>
          <w:rFonts w:ascii="Constantia" w:eastAsia="Calibri" w:hAnsi="Constantia" w:cs="Calibri"/>
          <w:i/>
          <w:iCs/>
          <w:sz w:val="16"/>
          <w:szCs w:val="16"/>
          <w:bdr w:val="nil"/>
        </w:rPr>
        <w:t>les conseillers de CPAS</w:t>
      </w:r>
    </w:p>
  </w:footnote>
  <w:footnote w:id="3">
    <w:p w:rsidR="00024093" w:rsidRPr="00073818" w:rsidRDefault="00024093" w:rsidP="00024093">
      <w:pPr>
        <w:pStyle w:val="Voetnoottekst"/>
        <w:rPr>
          <w:rFonts w:ascii="Constantia" w:hAnsi="Constantia"/>
          <w:i/>
          <w:sz w:val="16"/>
          <w:szCs w:val="16"/>
          <w:lang w:val="fr-BE"/>
        </w:rPr>
      </w:pPr>
      <w:r w:rsidRPr="009E50CB">
        <w:rPr>
          <w:rStyle w:val="Voetnootmarkering"/>
          <w:rFonts w:ascii="Constantia" w:hAnsi="Constantia"/>
          <w:sz w:val="16"/>
          <w:szCs w:val="16"/>
        </w:rPr>
        <w:footnoteRef/>
      </w:r>
      <w:r w:rsidRPr="00073818">
        <w:rPr>
          <w:rFonts w:ascii="Constantia" w:eastAsia="Calibri" w:hAnsi="Constantia" w:cs="Calibri"/>
          <w:i/>
          <w:iCs/>
          <w:sz w:val="16"/>
          <w:szCs w:val="16"/>
          <w:bdr w:val="nil"/>
          <w:lang w:val="fr-BE"/>
        </w:rPr>
        <w:t xml:space="preserve"> Les mandats visés sont les suivants :</w:t>
      </w:r>
    </w:p>
    <w:p w:rsidR="00024093" w:rsidRPr="00073818" w:rsidRDefault="00024093" w:rsidP="00024093">
      <w:pPr>
        <w:pStyle w:val="Voetnoottekst"/>
        <w:numPr>
          <w:ilvl w:val="0"/>
          <w:numId w:val="2"/>
        </w:numPr>
        <w:rPr>
          <w:rFonts w:ascii="Constantia" w:hAnsi="Constantia"/>
          <w:i/>
          <w:sz w:val="16"/>
          <w:szCs w:val="16"/>
          <w:lang w:val="fr-BE"/>
        </w:rPr>
      </w:pPr>
      <w:r w:rsidRPr="00073818">
        <w:rPr>
          <w:rFonts w:ascii="Constantia" w:eastAsia="Calibri" w:hAnsi="Constantia" w:cs="Calibri"/>
          <w:i/>
          <w:iCs/>
          <w:sz w:val="16"/>
          <w:szCs w:val="16"/>
          <w:bdr w:val="nil"/>
          <w:lang w:val="fr-BE"/>
        </w:rPr>
        <w:t>les membres d’organes d’administration, de gestion ou de conseil d’un organisme public régional ou local,</w:t>
      </w:r>
    </w:p>
    <w:p w:rsidR="00024093" w:rsidRPr="00073818" w:rsidRDefault="00024093" w:rsidP="00024093">
      <w:pPr>
        <w:pStyle w:val="Voetnoottekst"/>
        <w:numPr>
          <w:ilvl w:val="0"/>
          <w:numId w:val="2"/>
        </w:numPr>
        <w:rPr>
          <w:rFonts w:ascii="Constantia" w:hAnsi="Constantia"/>
          <w:i/>
          <w:sz w:val="16"/>
          <w:szCs w:val="16"/>
          <w:lang w:val="fr-BE"/>
        </w:rPr>
      </w:pPr>
      <w:r w:rsidRPr="00073818">
        <w:rPr>
          <w:rFonts w:ascii="Constantia" w:eastAsia="Calibri" w:hAnsi="Constantia" w:cs="Calibri"/>
          <w:i/>
          <w:iCs/>
          <w:sz w:val="16"/>
          <w:szCs w:val="16"/>
          <w:bdr w:val="nil"/>
          <w:lang w:val="fr-BE"/>
        </w:rPr>
        <w:t>les membres d’organes d’administration, de gestion ou de conseil d’un organisme public régional et local</w:t>
      </w:r>
      <w:r>
        <w:rPr>
          <w:rFonts w:ascii="Constantia" w:eastAsia="Calibri" w:hAnsi="Constantia" w:cs="Calibri"/>
          <w:i/>
          <w:iCs/>
          <w:sz w:val="16"/>
          <w:szCs w:val="16"/>
          <w:bdr w:val="nil"/>
          <w:lang w:val="fr-BE"/>
        </w:rPr>
        <w:t>,</w:t>
      </w:r>
    </w:p>
    <w:p w:rsidR="00024093" w:rsidRPr="00073818" w:rsidRDefault="00024093" w:rsidP="00024093">
      <w:pPr>
        <w:pStyle w:val="Voetnoottekst"/>
        <w:numPr>
          <w:ilvl w:val="0"/>
          <w:numId w:val="2"/>
        </w:numPr>
        <w:rPr>
          <w:rFonts w:ascii="Constantia" w:hAnsi="Constantia"/>
          <w:i/>
          <w:sz w:val="16"/>
          <w:szCs w:val="16"/>
          <w:lang w:val="fr-BE"/>
        </w:rPr>
      </w:pPr>
      <w:r w:rsidRPr="00073818">
        <w:rPr>
          <w:rFonts w:ascii="Constantia" w:eastAsia="Calibri" w:hAnsi="Constantia" w:cs="Calibri"/>
          <w:i/>
          <w:iCs/>
          <w:sz w:val="16"/>
          <w:szCs w:val="16"/>
          <w:bdr w:val="nil"/>
          <w:lang w:val="fr-BE"/>
        </w:rPr>
        <w:t>les membres d’organes d’administration, de gestion ou de conseil d’un organisme public bicommunautaire,</w:t>
      </w:r>
    </w:p>
    <w:p w:rsidR="00024093" w:rsidRPr="00073818" w:rsidRDefault="00024093" w:rsidP="00024093">
      <w:pPr>
        <w:pStyle w:val="Voetnoottekst"/>
        <w:numPr>
          <w:ilvl w:val="0"/>
          <w:numId w:val="2"/>
        </w:numPr>
        <w:jc w:val="both"/>
        <w:rPr>
          <w:rFonts w:ascii="Constantia" w:hAnsi="Constantia"/>
          <w:i/>
          <w:sz w:val="16"/>
          <w:szCs w:val="16"/>
          <w:lang w:val="fr-BE"/>
        </w:rPr>
      </w:pPr>
      <w:r w:rsidRPr="00073818">
        <w:rPr>
          <w:rFonts w:ascii="Constantia" w:eastAsia="Calibri" w:hAnsi="Constantia" w:cs="Calibri"/>
          <w:i/>
          <w:iCs/>
          <w:sz w:val="16"/>
          <w:szCs w:val="16"/>
          <w:bdr w:val="nil"/>
          <w:lang w:val="fr-BE"/>
        </w:rPr>
        <w:t xml:space="preserve">toute autre personne désignée par le Gouvernement et/ou le Collège réuni pour </w:t>
      </w:r>
      <w:r>
        <w:rPr>
          <w:rFonts w:ascii="Constantia" w:eastAsia="Calibri" w:hAnsi="Constantia" w:cs="Calibri"/>
          <w:i/>
          <w:iCs/>
          <w:sz w:val="16"/>
          <w:szCs w:val="16"/>
          <w:bdr w:val="nil"/>
          <w:lang w:val="fr-BE"/>
        </w:rPr>
        <w:t>l</w:t>
      </w:r>
      <w:r w:rsidRPr="00073818">
        <w:rPr>
          <w:rFonts w:ascii="Constantia" w:eastAsia="Calibri" w:hAnsi="Constantia" w:cs="Calibri"/>
          <w:i/>
          <w:iCs/>
          <w:sz w:val="16"/>
          <w:szCs w:val="16"/>
          <w:bdr w:val="nil"/>
          <w:lang w:val="fr-BE"/>
        </w:rPr>
        <w:t>e</w:t>
      </w:r>
      <w:r>
        <w:rPr>
          <w:rFonts w:ascii="Constantia" w:eastAsia="Calibri" w:hAnsi="Constantia" w:cs="Calibri"/>
          <w:i/>
          <w:iCs/>
          <w:sz w:val="16"/>
          <w:szCs w:val="16"/>
          <w:bdr w:val="nil"/>
          <w:lang w:val="fr-BE"/>
        </w:rPr>
        <w:t xml:space="preserve"> </w:t>
      </w:r>
      <w:r w:rsidRPr="00073818">
        <w:rPr>
          <w:rFonts w:ascii="Constantia" w:eastAsia="Calibri" w:hAnsi="Constantia" w:cs="Calibri"/>
          <w:i/>
          <w:iCs/>
          <w:sz w:val="16"/>
          <w:szCs w:val="16"/>
          <w:bdr w:val="nil"/>
          <w:lang w:val="fr-BE"/>
        </w:rPr>
        <w:t>représenter dans le conseil d’administration de toute structure dotée de la personnalité juridique</w:t>
      </w:r>
      <w:r>
        <w:rPr>
          <w:rFonts w:ascii="Constantia" w:eastAsia="Calibri" w:hAnsi="Constantia" w:cs="Calibri"/>
          <w:i/>
          <w:iCs/>
          <w:sz w:val="16"/>
          <w:szCs w:val="16"/>
          <w:bdr w:val="nil"/>
          <w:lang w:val="fr-BE"/>
        </w:rPr>
        <w:t>.</w:t>
      </w:r>
    </w:p>
    <w:p w:rsidR="00024093" w:rsidRPr="00073818" w:rsidRDefault="00024093" w:rsidP="00024093">
      <w:pPr>
        <w:pStyle w:val="Voetnoottekst"/>
        <w:rPr>
          <w:sz w:val="16"/>
          <w:szCs w:val="16"/>
          <w:lang w:val="fr-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D3402"/>
    <w:multiLevelType w:val="hybridMultilevel"/>
    <w:tmpl w:val="72661D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8AC763F"/>
    <w:multiLevelType w:val="hybridMultilevel"/>
    <w:tmpl w:val="7EF8938C"/>
    <w:lvl w:ilvl="0" w:tplc="D750CF22">
      <w:start w:val="1"/>
      <w:numFmt w:val="decimal"/>
      <w:lvlText w:val="%1."/>
      <w:lvlJc w:val="left"/>
      <w:pPr>
        <w:ind w:left="720" w:hanging="360"/>
      </w:pPr>
      <w:rPr>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FD401D7"/>
    <w:multiLevelType w:val="hybridMultilevel"/>
    <w:tmpl w:val="8916B4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93"/>
    <w:rsid w:val="00024093"/>
    <w:rsid w:val="009B471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713C1-F943-48A9-A8EF-A9BBDA95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4093"/>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024093"/>
    <w:pPr>
      <w:spacing w:after="0" w:line="240" w:lineRule="auto"/>
    </w:pPr>
    <w:rPr>
      <w:sz w:val="20"/>
      <w:szCs w:val="20"/>
    </w:rPr>
  </w:style>
  <w:style w:type="character" w:customStyle="1" w:styleId="VoetnoottekstChar">
    <w:name w:val="Voetnoottekst Char"/>
    <w:basedOn w:val="Standaardalinea-lettertype"/>
    <w:link w:val="Voetnoottekst"/>
    <w:uiPriority w:val="99"/>
    <w:rsid w:val="00024093"/>
    <w:rPr>
      <w:sz w:val="20"/>
      <w:szCs w:val="20"/>
      <w:lang w:val="nl-BE"/>
    </w:rPr>
  </w:style>
  <w:style w:type="character" w:styleId="Voetnootmarkering">
    <w:name w:val="footnote reference"/>
    <w:basedOn w:val="Standaardalinea-lettertype"/>
    <w:uiPriority w:val="99"/>
    <w:semiHidden/>
    <w:unhideWhenUsed/>
    <w:rsid w:val="00024093"/>
    <w:rPr>
      <w:vertAlign w:val="superscript"/>
    </w:rPr>
  </w:style>
  <w:style w:type="table" w:styleId="Tabelraster">
    <w:name w:val="Table Grid"/>
    <w:basedOn w:val="Standaardtabel"/>
    <w:uiPriority w:val="39"/>
    <w:rsid w:val="00024093"/>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02409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24093"/>
    <w:rPr>
      <w:rFonts w:eastAsiaTheme="minorEastAsia"/>
      <w:color w:val="5A5A5A" w:themeColor="text1" w:themeTint="A5"/>
      <w:spacing w:val="15"/>
      <w:lang w:val="nl-BE"/>
    </w:rPr>
  </w:style>
  <w:style w:type="paragraph" w:customStyle="1" w:styleId="chapitre">
    <w:name w:val="chapitre"/>
    <w:basedOn w:val="Standaard"/>
    <w:link w:val="chapitreCar"/>
    <w:qFormat/>
    <w:rsid w:val="00024093"/>
    <w:pPr>
      <w:pageBreakBefore/>
      <w:autoSpaceDE w:val="0"/>
      <w:autoSpaceDN w:val="0"/>
      <w:adjustRightInd w:val="0"/>
      <w:spacing w:after="0" w:line="240" w:lineRule="auto"/>
      <w:jc w:val="both"/>
    </w:pPr>
    <w:rPr>
      <w:rFonts w:asciiTheme="majorHAnsi" w:hAnsiTheme="majorHAnsi" w:cs="Corbel"/>
      <w:b/>
      <w:bCs/>
      <w:color w:val="304E9A"/>
      <w:sz w:val="36"/>
      <w:szCs w:val="36"/>
      <w:lang w:val="fr-BE"/>
    </w:rPr>
  </w:style>
  <w:style w:type="paragraph" w:customStyle="1" w:styleId="titrevade">
    <w:name w:val="titre vade"/>
    <w:basedOn w:val="Standaard"/>
    <w:link w:val="titrevadeCar"/>
    <w:qFormat/>
    <w:rsid w:val="00024093"/>
    <w:pPr>
      <w:autoSpaceDE w:val="0"/>
      <w:autoSpaceDN w:val="0"/>
      <w:adjustRightInd w:val="0"/>
      <w:spacing w:after="0" w:line="240" w:lineRule="auto"/>
      <w:jc w:val="both"/>
    </w:pPr>
    <w:rPr>
      <w:rFonts w:asciiTheme="majorHAnsi" w:hAnsiTheme="majorHAnsi" w:cs="Corbel"/>
      <w:b/>
      <w:bCs/>
      <w:color w:val="304E9A"/>
      <w:sz w:val="48"/>
      <w:szCs w:val="48"/>
      <w:lang w:val="fr-BE"/>
    </w:rPr>
  </w:style>
  <w:style w:type="character" w:customStyle="1" w:styleId="chapitreCar">
    <w:name w:val="chapitre Car"/>
    <w:basedOn w:val="Standaardalinea-lettertype"/>
    <w:link w:val="chapitre"/>
    <w:rsid w:val="00024093"/>
    <w:rPr>
      <w:rFonts w:asciiTheme="majorHAnsi" w:hAnsiTheme="majorHAnsi" w:cs="Corbel"/>
      <w:b/>
      <w:bCs/>
      <w:color w:val="304E9A"/>
      <w:sz w:val="36"/>
      <w:szCs w:val="36"/>
      <w:lang w:val="fr-BE"/>
    </w:rPr>
  </w:style>
  <w:style w:type="character" w:customStyle="1" w:styleId="titrevadeCar">
    <w:name w:val="titre vade Car"/>
    <w:basedOn w:val="Standaardalinea-lettertype"/>
    <w:link w:val="titrevade"/>
    <w:rsid w:val="00024093"/>
    <w:rPr>
      <w:rFonts w:asciiTheme="majorHAnsi" w:hAnsiTheme="majorHAnsi" w:cs="Corbel"/>
      <w:b/>
      <w:bCs/>
      <w:color w:val="304E9A"/>
      <w:sz w:val="48"/>
      <w:szCs w:val="48"/>
      <w:lang w:val="fr-BE"/>
    </w:rPr>
  </w:style>
  <w:style w:type="paragraph" w:styleId="Koptekst">
    <w:name w:val="header"/>
    <w:basedOn w:val="Standaard"/>
    <w:link w:val="KoptekstChar"/>
    <w:uiPriority w:val="99"/>
    <w:unhideWhenUsed/>
    <w:rsid w:val="0002409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24093"/>
    <w:rPr>
      <w:lang w:val="nl-BE"/>
    </w:rPr>
  </w:style>
  <w:style w:type="paragraph" w:styleId="Voettekst">
    <w:name w:val="footer"/>
    <w:basedOn w:val="Standaard"/>
    <w:link w:val="VoettekstChar"/>
    <w:uiPriority w:val="99"/>
    <w:unhideWhenUsed/>
    <w:rsid w:val="0002409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24093"/>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559</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Heyneman</dc:creator>
  <cp:keywords/>
  <dc:description/>
  <cp:lastModifiedBy>Christophe Heyneman</cp:lastModifiedBy>
  <cp:revision>1</cp:revision>
  <dcterms:created xsi:type="dcterms:W3CDTF">2020-11-30T13:38:00Z</dcterms:created>
  <dcterms:modified xsi:type="dcterms:W3CDTF">2020-11-30T13:47:00Z</dcterms:modified>
</cp:coreProperties>
</file>