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31" w:rsidRPr="008E6536" w:rsidRDefault="003D2E31" w:rsidP="003D2E31">
      <w:pPr>
        <w:pStyle w:val="chapitre"/>
        <w:rPr>
          <w:lang w:val="nl-NL"/>
        </w:rPr>
      </w:pPr>
      <w:bookmarkStart w:id="0" w:name="_Toc531335644"/>
      <w:r w:rsidRPr="008E6536">
        <w:rPr>
          <w:lang w:val="nl-NL"/>
        </w:rPr>
        <w:t>BIJLAGE 3</w:t>
      </w:r>
      <w:bookmarkEnd w:id="0"/>
    </w:p>
    <w:p w:rsidR="003D2E31" w:rsidRPr="008E6536" w:rsidRDefault="003D2E31" w:rsidP="003D2E31">
      <w:pPr>
        <w:pStyle w:val="titrevade"/>
        <w:rPr>
          <w:rFonts w:cs="Constantia"/>
          <w:sz w:val="20"/>
          <w:szCs w:val="20"/>
          <w:lang w:val="nl-NL"/>
        </w:rPr>
      </w:pPr>
      <w:bookmarkStart w:id="1" w:name="_Toc531335645"/>
      <w:r w:rsidRPr="008E6536">
        <w:rPr>
          <w:lang w:val="nl-NL"/>
        </w:rPr>
        <w:t>Modelformulier voor het jaarverslag</w:t>
      </w:r>
      <w:bookmarkEnd w:id="1"/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Publicatie in uitvoering van artikel 7, § 1, van de gezamenlijke ordonnantie van 14 december 2017 van het Brussels Hoofdstedelijk Gewest en de Gemeenschappelijke Gemeenschapscommissie betreffende de transparantie van de bezoldigingen en voordelen van de Brusselse openbare mandatarissen.</w:t>
      </w: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Uitvoeringsbesluit van de Brusselse Hoofdstedelijke Regering van 4 oktober 2018 houdende uitvoering van artikel 7 van de gezamenlijke ordonnantie van het Brussels Hoofdstedelijk Gewest en de Gemeenschappelijke Gemeenschapscommissie van 14 december 2017 betreffende de transparantie van de bezoldigingen en voordelen </w:t>
      </w:r>
      <w:bookmarkStart w:id="2" w:name="_GoBack"/>
      <w:bookmarkEnd w:id="2"/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van de Brusselse openbare mandatarissen.</w:t>
      </w:r>
    </w:p>
    <w:p w:rsidR="003D2E31" w:rsidRPr="008E6536" w:rsidRDefault="003D2E31" w:rsidP="003D2E31">
      <w:pPr>
        <w:pStyle w:val="Voetnoottekst"/>
        <w:jc w:val="both"/>
        <w:rPr>
          <w:rFonts w:asciiTheme="majorHAnsi" w:hAnsiTheme="majorHAnsi" w:cs="Constantia"/>
          <w:lang w:val="nl-NL"/>
        </w:rPr>
        <w:sectPr w:rsidR="003D2E31" w:rsidRPr="008E653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lastRenderedPageBreak/>
        <w:t xml:space="preserve">Overzicht van de aanwezigheden op de vergaderingen, bezoldigingen en voordelen van alle aard alsook de vertegenwoordigingskosten – artikel 7, § 1, van de </w:t>
      </w:r>
      <w:r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gezamenlijke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ordonnantie van 14 december 2017</w:t>
      </w: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822"/>
        <w:gridCol w:w="6549"/>
      </w:tblGrid>
      <w:tr w:rsidR="003D2E31" w:rsidRPr="008E6536" w:rsidTr="004933FA">
        <w:tc>
          <w:tcPr>
            <w:tcW w:w="2410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Voornaam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Rijksregister-nummer</w:t>
            </w:r>
          </w:p>
        </w:tc>
        <w:tc>
          <w:tcPr>
            <w:tcW w:w="822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Taal-rol</w:t>
            </w:r>
          </w:p>
        </w:tc>
        <w:tc>
          <w:tcPr>
            <w:tcW w:w="6549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Adres</w:t>
            </w: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2410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549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6"/>
        <w:gridCol w:w="1276"/>
        <w:gridCol w:w="1418"/>
        <w:gridCol w:w="992"/>
        <w:gridCol w:w="1134"/>
      </w:tblGrid>
      <w:tr w:rsidR="003D2E31" w:rsidRPr="008E6536" w:rsidTr="004933FA">
        <w:tc>
          <w:tcPr>
            <w:tcW w:w="4531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M</w:t>
            </w: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andaat, functie of afgeleide functie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Instelling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Bezoldigd mandaat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 xml:space="preserve"> (ja/nee)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Onbezoldigd mandaat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 xml:space="preserve"> (ja/nee)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Start-datum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Eind-datum</w:t>
            </w: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D28E2" w:rsidTr="004933FA">
        <w:trPr>
          <w:trHeight w:val="567"/>
        </w:trPr>
        <w:tc>
          <w:tcPr>
            <w:tcW w:w="4531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D28E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1622"/>
        <w:gridCol w:w="2977"/>
        <w:gridCol w:w="1418"/>
        <w:gridCol w:w="3685"/>
        <w:gridCol w:w="1247"/>
      </w:tblGrid>
      <w:tr w:rsidR="003D2E31" w:rsidRPr="008E6536" w:rsidTr="004933FA">
        <w:tc>
          <w:tcPr>
            <w:tcW w:w="1668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Bruto jaar-bezoldiging of –vergoeding</w:t>
            </w:r>
          </w:p>
          <w:p w:rsidR="003D2E31" w:rsidRPr="008E6536" w:rsidRDefault="003D2E31" w:rsidP="004933F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(A)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Totaal presentie-gelden</w:t>
            </w:r>
          </w:p>
          <w:p w:rsidR="003D2E31" w:rsidRPr="008E6536" w:rsidRDefault="003D2E31" w:rsidP="004933F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(B)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Aantal vergaderingen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Voordelen van alle aard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Bedrag</w:t>
            </w:r>
          </w:p>
          <w:p w:rsidR="003D2E31" w:rsidRPr="008E6536" w:rsidRDefault="003D2E31" w:rsidP="004933F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(C)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Representatiekosten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Bedrag</w:t>
            </w: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166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2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47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3261"/>
        <w:gridCol w:w="1275"/>
        <w:gridCol w:w="1560"/>
      </w:tblGrid>
      <w:tr w:rsidR="003D2E31" w:rsidRPr="008E6536" w:rsidTr="004933FA">
        <w:tc>
          <w:tcPr>
            <w:tcW w:w="6232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Werkinstrumenten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SUBTOTAAL</w:t>
            </w:r>
          </w:p>
          <w:p w:rsidR="003D2E31" w:rsidRPr="008E6536" w:rsidRDefault="003D2E31" w:rsidP="004933F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(A+B+C)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vertAlign w:val="superscript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 xml:space="preserve">Toegepaste verminderingen </w:t>
            </w: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vertAlign w:val="superscript"/>
                <w:lang w:val="nl-NL"/>
              </w:rPr>
              <w:t>1</w:t>
            </w:r>
          </w:p>
          <w:p w:rsidR="003D2E31" w:rsidRPr="008E6536" w:rsidRDefault="003D2E31" w:rsidP="004933F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D</w:t>
            </w: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TOTAAL</w:t>
            </w:r>
          </w:p>
          <w:p w:rsidR="003D2E31" w:rsidRPr="008E6536" w:rsidRDefault="003D2E31" w:rsidP="004933F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A+B+C-</w:t>
            </w:r>
            <w:r w:rsidRPr="008E6536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D)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Datum van het verslag</w:t>
            </w: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40C4D" w:rsidTr="004933FA">
        <w:trPr>
          <w:trHeight w:val="567"/>
        </w:trPr>
        <w:tc>
          <w:tcPr>
            <w:tcW w:w="6232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261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:rsidR="003D2E31" w:rsidRPr="00840C4D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D2E31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vertAlign w:val="superscript"/>
          <w:lang w:val="nl-NL"/>
        </w:rPr>
        <w:t>1</w:t>
      </w: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u w:val="single"/>
          <w:lang w:val="nl-NL"/>
        </w:rPr>
        <w:t>Opmerkingen in verband met de verminderingen:</w:t>
      </w: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nl-NL"/>
        </w:rPr>
      </w:pP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De </w:t>
      </w:r>
      <w:r w:rsidRPr="008E6536">
        <w:rPr>
          <w:rFonts w:asciiTheme="majorHAnsi" w:eastAsia="Calibri" w:hAnsiTheme="majorHAnsi" w:cs="Calibri"/>
          <w:sz w:val="20"/>
          <w:szCs w:val="20"/>
          <w:u w:val="single"/>
          <w:bdr w:val="nil"/>
          <w:lang w:val="nl-NL"/>
        </w:rPr>
        <w:t>voorwaarden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 voor het toepassen van verminderingen worden bepaald in artikel 3, § 2, van de </w:t>
      </w:r>
      <w:r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gezamenlijke 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ordonnantie van 14 december 2017. </w:t>
      </w: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nl-NL"/>
        </w:rPr>
      </w:pP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In geval van overschrijding van het maximum van 150 % van het bedrag van de parlementaire vergoeding, wordt een vermindering ten belope van die overschrijding </w:t>
      </w:r>
      <w:r w:rsidRPr="008E6536">
        <w:rPr>
          <w:rFonts w:asciiTheme="majorHAnsi" w:eastAsia="Calibri" w:hAnsiTheme="majorHAnsi" w:cs="Calibri"/>
          <w:sz w:val="20"/>
          <w:szCs w:val="20"/>
          <w:u w:val="single"/>
          <w:bdr w:val="nil"/>
          <w:lang w:val="nl-NL"/>
        </w:rPr>
        <w:t>enkel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 toegepast op de bezoldigingen, vergoedingen, wedden of presentiegelden en voordelen van alle aard die als tegenprestatie ontvangen werden voor de uitoefening van een mandaat als bedoeld in artikel 2, § 1, tweede lid </w:t>
      </w:r>
      <w:r w:rsidRPr="008E6536">
        <w:rPr>
          <w:rFonts w:asciiTheme="majorHAnsi" w:eastAsia="Calibri" w:hAnsiTheme="majorHAnsi" w:cs="Times New Roman"/>
          <w:sz w:val="20"/>
          <w:szCs w:val="20"/>
          <w:vertAlign w:val="superscript"/>
          <w:lang w:val="nl-NL"/>
        </w:rPr>
        <w:footnoteReference w:id="1"/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>, en zulks onder de volgende voorwaarden:</w:t>
      </w:r>
    </w:p>
    <w:p w:rsidR="003D2E31" w:rsidRPr="008E6536" w:rsidRDefault="003D2E31" w:rsidP="003D2E31">
      <w:pPr>
        <w:numPr>
          <w:ilvl w:val="0"/>
          <w:numId w:val="3"/>
        </w:numPr>
        <w:spacing w:before="160" w:line="240" w:lineRule="auto"/>
        <w:ind w:left="357" w:hanging="357"/>
        <w:jc w:val="both"/>
        <w:rPr>
          <w:rFonts w:asciiTheme="majorHAnsi" w:eastAsia="Calibri" w:hAnsiTheme="majorHAnsi" w:cs="Times New Roman"/>
          <w:sz w:val="20"/>
          <w:szCs w:val="20"/>
          <w:lang w:val="nl-NL"/>
        </w:rPr>
      </w:pP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de vermindering wordt </w:t>
      </w:r>
      <w:r w:rsidRPr="008E6536">
        <w:rPr>
          <w:rFonts w:asciiTheme="majorHAnsi" w:eastAsia="Calibri" w:hAnsiTheme="majorHAnsi" w:cs="Calibri"/>
          <w:sz w:val="20"/>
          <w:szCs w:val="20"/>
          <w:u w:val="single"/>
          <w:bdr w:val="nil"/>
          <w:lang w:val="nl-NL"/>
        </w:rPr>
        <w:t>prioritair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 en </w:t>
      </w:r>
      <w:r w:rsidRPr="008E6536">
        <w:rPr>
          <w:rFonts w:asciiTheme="majorHAnsi" w:eastAsia="Calibri" w:hAnsiTheme="majorHAnsi" w:cs="Calibri"/>
          <w:sz w:val="20"/>
          <w:szCs w:val="20"/>
          <w:u w:val="single"/>
          <w:bdr w:val="nil"/>
          <w:lang w:val="nl-NL"/>
        </w:rPr>
        <w:t>ten belope van die overschrijding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 toegepast op de bezoldigingen, vergoedingen, wedden of presentiegelden en voordelen van alle aard die als tegenprestatie ontvangen werden voor de uitoefening van een mandaat als bedoeld in artikel 2, § 1, tweede lid, streepjes 1 tot 4 </w:t>
      </w:r>
      <w:r w:rsidRPr="008E6536">
        <w:rPr>
          <w:rFonts w:asciiTheme="majorHAnsi" w:eastAsia="Calibri" w:hAnsiTheme="majorHAnsi" w:cs="Times New Roman"/>
          <w:sz w:val="20"/>
          <w:szCs w:val="20"/>
          <w:vertAlign w:val="superscript"/>
          <w:lang w:val="nl-NL"/>
        </w:rPr>
        <w:footnoteReference w:id="2"/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>. Die vermindering wordt enkel toegepast op het deel van de bezoldigingen, vergoedingen, wedden of presentiegelden en voordelen van alle aard die hoger zijn dan 50 % van het bedrag van de parlementaire vergoeding die de leden van de Kamer van Volksvertegenwoordigers ontvangen;</w:t>
      </w:r>
    </w:p>
    <w:p w:rsidR="003D2E31" w:rsidRPr="008E6536" w:rsidRDefault="003D2E31" w:rsidP="003D2E31">
      <w:pPr>
        <w:numPr>
          <w:ilvl w:val="0"/>
          <w:numId w:val="3"/>
        </w:numPr>
        <w:spacing w:before="160" w:line="240" w:lineRule="auto"/>
        <w:ind w:left="357" w:hanging="357"/>
        <w:jc w:val="both"/>
        <w:rPr>
          <w:rFonts w:asciiTheme="majorHAnsi" w:eastAsia="Calibri" w:hAnsiTheme="majorHAnsi" w:cs="Times New Roman"/>
          <w:sz w:val="20"/>
          <w:szCs w:val="20"/>
          <w:lang w:val="nl-NL"/>
        </w:rPr>
      </w:pP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de vermindering wordt, indien nodig, </w:t>
      </w:r>
      <w:r w:rsidRPr="008E6536">
        <w:rPr>
          <w:rFonts w:asciiTheme="majorHAnsi" w:eastAsia="Calibri" w:hAnsiTheme="majorHAnsi" w:cs="Calibri"/>
          <w:sz w:val="20"/>
          <w:szCs w:val="20"/>
          <w:u w:val="single"/>
          <w:bdr w:val="nil"/>
          <w:lang w:val="nl-NL"/>
        </w:rPr>
        <w:t>ten belope van die overschrijding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 toegepast op de bezoldigingen, vergoedingen, wedden of presentiegelden en voordelen van alle aard die als tegenprestatie ontvangen werden voor de uitoefening van een mandaat als bedoeld in artikel 2, § 1, tweede lid, streepjes 5 tot 8 </w:t>
      </w:r>
      <w:r w:rsidRPr="008E6536">
        <w:rPr>
          <w:rFonts w:asciiTheme="majorHAnsi" w:eastAsia="Calibri" w:hAnsiTheme="majorHAnsi" w:cs="Times New Roman"/>
          <w:sz w:val="20"/>
          <w:szCs w:val="20"/>
          <w:vertAlign w:val="superscript"/>
          <w:lang w:val="nl-NL"/>
        </w:rPr>
        <w:footnoteReference w:id="3"/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 xml:space="preserve">. Die vermindering is </w:t>
      </w:r>
      <w:r w:rsidRPr="008E6536">
        <w:rPr>
          <w:rFonts w:asciiTheme="majorHAnsi" w:eastAsia="Calibri" w:hAnsiTheme="majorHAnsi" w:cs="Calibri"/>
          <w:sz w:val="20"/>
          <w:szCs w:val="20"/>
          <w:u w:val="single"/>
          <w:bdr w:val="nil"/>
          <w:lang w:val="nl-NL"/>
        </w:rPr>
        <w:t>onbeperkt</w:t>
      </w:r>
      <w:r w:rsidRPr="008E6536">
        <w:rPr>
          <w:rFonts w:asciiTheme="majorHAnsi" w:eastAsia="Calibri" w:hAnsiTheme="majorHAnsi" w:cs="Calibri"/>
          <w:sz w:val="20"/>
          <w:szCs w:val="20"/>
          <w:bdr w:val="nil"/>
          <w:lang w:val="nl-NL"/>
        </w:rPr>
        <w:t>.</w:t>
      </w: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bdr w:val="nil"/>
          <w:lang w:val="nl-NL"/>
        </w:rPr>
      </w:pPr>
    </w:p>
    <w:p w:rsidR="003D2E31" w:rsidRPr="008E6536" w:rsidRDefault="003D2E31" w:rsidP="003D2E31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nl-NL"/>
        </w:r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Lijst met reizen van de openbare mandatarissen – artikel 7, § 1, van de </w:t>
      </w:r>
      <w:r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gezamenlijke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ordonnantie van 14 december 2017</w:t>
      </w: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14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2694"/>
        <w:gridCol w:w="3515"/>
        <w:gridCol w:w="1417"/>
        <w:gridCol w:w="1541"/>
      </w:tblGrid>
      <w:tr w:rsidR="003D2E31" w:rsidRPr="008E6536" w:rsidTr="004933FA">
        <w:tc>
          <w:tcPr>
            <w:tcW w:w="269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Reis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Datum van de reis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Organisator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Betrokken mandataris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Datum met reden omklede beslissing van het bevoegde orgaan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Datum goedkeuring door de Regering, Verenigd College of algemeen toezicht</w:t>
            </w: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8E6536" w:rsidTr="004933FA">
        <w:trPr>
          <w:trHeight w:val="567"/>
        </w:trPr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15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54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Inventaris van de overheidsopdrachten – artikel 7, § 1, van de </w:t>
      </w:r>
      <w:r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gezamenlijke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ordonnantie van 14 december 2017</w:t>
      </w: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tbl>
      <w:tblPr>
        <w:tblStyle w:val="Tabelraster"/>
        <w:tblW w:w="14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4111"/>
        <w:gridCol w:w="1654"/>
      </w:tblGrid>
      <w:tr w:rsidR="003D2E31" w:rsidRPr="008E6536" w:rsidTr="004933FA">
        <w:tc>
          <w:tcPr>
            <w:tcW w:w="7088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Type opdracht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Datum van de opdracht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Begunstigden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Bedragen</w:t>
            </w: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7088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5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D2E31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3D2E31" w:rsidRDefault="003D2E31" w:rsidP="003D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Lijst met toegekende subsidies – artikel 7, § 1, van de </w:t>
      </w:r>
      <w:r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 xml:space="preserve">gezamenlijke </w:t>
      </w:r>
      <w:r w:rsidRPr="008E6536"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  <w:t>ordonnantie van 14 december 2017</w:t>
      </w:r>
    </w:p>
    <w:p w:rsidR="003D2E31" w:rsidRPr="008E6536" w:rsidRDefault="003D2E31" w:rsidP="003D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b/>
          <w:color w:val="000000"/>
          <w:sz w:val="20"/>
          <w:szCs w:val="20"/>
          <w:lang w:val="nl-NL"/>
        </w:rPr>
      </w:pPr>
    </w:p>
    <w:tbl>
      <w:tblPr>
        <w:tblStyle w:val="Tabelraster"/>
        <w:tblW w:w="14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6190"/>
      </w:tblGrid>
      <w:tr w:rsidR="003D2E31" w:rsidRPr="008E6536" w:rsidTr="004933FA">
        <w:tc>
          <w:tcPr>
            <w:tcW w:w="5670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Subsidie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190" w:type="dxa"/>
            <w:shd w:val="clear" w:color="auto" w:fill="BFBFBF" w:themeFill="background1" w:themeFillShade="BF"/>
          </w:tcPr>
          <w:p w:rsidR="003D2E31" w:rsidRPr="008E6536" w:rsidRDefault="003D2E31" w:rsidP="004933FA">
            <w:pPr>
              <w:pStyle w:val="Ondertitel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</w:pPr>
            <w:r w:rsidRPr="008E6536">
              <w:rPr>
                <w:rFonts w:asciiTheme="majorHAnsi" w:hAnsiTheme="majorHAnsi"/>
                <w:b/>
                <w:color w:val="auto"/>
                <w:sz w:val="20"/>
                <w:szCs w:val="20"/>
                <w:lang w:val="nl-NL"/>
              </w:rPr>
              <w:t>Bestemmeling</w:t>
            </w: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D2E31" w:rsidRPr="00E31702" w:rsidTr="004933FA">
        <w:trPr>
          <w:trHeight w:val="567"/>
        </w:trPr>
        <w:tc>
          <w:tcPr>
            <w:tcW w:w="567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90" w:type="dxa"/>
          </w:tcPr>
          <w:p w:rsidR="003D2E31" w:rsidRPr="00E31702" w:rsidRDefault="003D2E31" w:rsidP="00493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9B4711" w:rsidRPr="003D2E31" w:rsidRDefault="009B4711" w:rsidP="003D2E31">
      <w:pPr>
        <w:autoSpaceDE w:val="0"/>
        <w:autoSpaceDN w:val="0"/>
        <w:adjustRightInd w:val="0"/>
        <w:spacing w:after="0" w:line="240" w:lineRule="auto"/>
        <w:jc w:val="both"/>
        <w:rPr>
          <w:lang w:val="nl-NL"/>
        </w:rPr>
      </w:pPr>
    </w:p>
    <w:sectPr w:rsidR="009B4711" w:rsidRPr="003D2E31" w:rsidSect="003D2E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31" w:rsidRDefault="003D2E31" w:rsidP="003D2E31">
      <w:pPr>
        <w:spacing w:after="0" w:line="240" w:lineRule="auto"/>
      </w:pPr>
      <w:r>
        <w:separator/>
      </w:r>
    </w:p>
  </w:endnote>
  <w:endnote w:type="continuationSeparator" w:id="0">
    <w:p w:rsidR="003D2E31" w:rsidRDefault="003D2E31" w:rsidP="003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31" w:rsidRDefault="003D2E31">
    <w:pPr>
      <w:pStyle w:val="Voettekst"/>
    </w:pPr>
    <w:r w:rsidRPr="00843EEF">
      <w:t xml:space="preserve">Cel Transparantie van de bezoldigingen – Vademecum </w:t>
    </w:r>
    <w:r w:rsidRPr="00843EEF">
      <w:tab/>
    </w:r>
    <w:r>
      <w:fldChar w:fldCharType="begin"/>
    </w:r>
    <w:r>
      <w:instrText>PAGE   \* MERGEFORMAT</w:instrText>
    </w:r>
    <w:r>
      <w:fldChar w:fldCharType="separate"/>
    </w:r>
    <w:r w:rsidRPr="003D2E31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31" w:rsidRDefault="003D2E31" w:rsidP="003D2E31">
      <w:pPr>
        <w:spacing w:after="0" w:line="240" w:lineRule="auto"/>
      </w:pPr>
      <w:r>
        <w:separator/>
      </w:r>
    </w:p>
  </w:footnote>
  <w:footnote w:type="continuationSeparator" w:id="0">
    <w:p w:rsidR="003D2E31" w:rsidRDefault="003D2E31" w:rsidP="003D2E31">
      <w:pPr>
        <w:spacing w:after="0" w:line="240" w:lineRule="auto"/>
      </w:pPr>
      <w:r>
        <w:continuationSeparator/>
      </w:r>
    </w:p>
  </w:footnote>
  <w:footnote w:id="1">
    <w:p w:rsidR="003D2E31" w:rsidRPr="00D928F5" w:rsidRDefault="003D2E31" w:rsidP="003D2E31">
      <w:pPr>
        <w:pStyle w:val="Voetnoottekst"/>
        <w:jc w:val="both"/>
        <w:rPr>
          <w:rFonts w:asciiTheme="majorHAnsi" w:hAnsiTheme="majorHAnsi"/>
          <w:i/>
          <w:sz w:val="16"/>
          <w:szCs w:val="16"/>
        </w:rPr>
      </w:pPr>
      <w:r w:rsidRPr="00D928F5">
        <w:rPr>
          <w:rFonts w:asciiTheme="majorHAnsi" w:eastAsia="Calibri" w:hAnsiTheme="majorHAnsi" w:cs="Times New Roman"/>
          <w:sz w:val="16"/>
          <w:szCs w:val="16"/>
          <w:bdr w:val="nil"/>
          <w:vertAlign w:val="superscript"/>
        </w:rPr>
        <w:footnoteRef/>
      </w:r>
      <w:r w:rsidRPr="00D928F5">
        <w:rPr>
          <w:rFonts w:asciiTheme="majorHAnsi" w:eastAsia="Calibri" w:hAnsiTheme="majorHAnsi" w:cs="Times New Roman"/>
          <w:sz w:val="16"/>
          <w:szCs w:val="16"/>
          <w:bdr w:val="nil"/>
        </w:rPr>
        <w:t xml:space="preserve"> </w:t>
      </w:r>
      <w:r w:rsidRPr="00D928F5">
        <w:rPr>
          <w:rFonts w:asciiTheme="majorHAnsi" w:hAnsiTheme="majorHAnsi"/>
          <w:i/>
          <w:sz w:val="16"/>
          <w:szCs w:val="16"/>
        </w:rPr>
        <w:t>Het gaat om de burgemeesters en schepenen, de OCMW-voorzitters en leden van de vaste bureaus van de OCMW’s, de gemeenteraadsleden, de OCMW-raadsleden, de leden van bestuurs-, beheers- of adviesorganen van een gewestelijke of lokale openbare instelling, de leden van bestuurs-, beheers- of adviesorganen van een gewestelijke en lokale openbare instelling, de leden van bestuurs-, beheers- of adviesorganen van een openbare bicommunautaire instelling, elke andere persoon die door de Regering en/of het Verenigd College wordt aangewezen om haar en/of het te vertegenwoordigen in de raad van bestuur van om het even welke structuur met rechtspersoonlijkheid.</w:t>
      </w:r>
    </w:p>
  </w:footnote>
  <w:footnote w:id="2">
    <w:p w:rsidR="003D2E31" w:rsidRPr="00D928F5" w:rsidRDefault="003D2E31" w:rsidP="003D2E31">
      <w:pPr>
        <w:pStyle w:val="Voetnoottekst"/>
        <w:rPr>
          <w:rFonts w:asciiTheme="majorHAnsi" w:hAnsiTheme="majorHAnsi"/>
          <w:i/>
          <w:sz w:val="16"/>
          <w:szCs w:val="16"/>
        </w:rPr>
      </w:pPr>
      <w:r w:rsidRPr="00D928F5">
        <w:rPr>
          <w:rStyle w:val="Voetnootmarkering"/>
          <w:rFonts w:asciiTheme="majorHAnsi" w:hAnsiTheme="majorHAnsi"/>
          <w:sz w:val="16"/>
          <w:szCs w:val="16"/>
        </w:rPr>
        <w:footnoteRef/>
      </w:r>
      <w:r w:rsidRPr="00D928F5">
        <w:rPr>
          <w:rFonts w:asciiTheme="majorHAnsi" w:eastAsia="Calibri" w:hAnsiTheme="majorHAnsi" w:cs="Calibri"/>
          <w:sz w:val="16"/>
          <w:szCs w:val="16"/>
          <w:bdr w:val="nil"/>
        </w:rPr>
        <w:t xml:space="preserve"> </w:t>
      </w: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 xml:space="preserve">De bedoelde mandaten zijn die van: </w:t>
      </w:r>
    </w:p>
    <w:p w:rsidR="003D2E31" w:rsidRPr="00D928F5" w:rsidRDefault="003D2E31" w:rsidP="003D2E31">
      <w:pPr>
        <w:pStyle w:val="Voetnoottekst"/>
        <w:numPr>
          <w:ilvl w:val="0"/>
          <w:numId w:val="1"/>
        </w:numPr>
        <w:rPr>
          <w:rFonts w:asciiTheme="majorHAnsi" w:hAnsiTheme="majorHAnsi"/>
          <w:i/>
          <w:sz w:val="16"/>
          <w:szCs w:val="16"/>
          <w:lang w:val="fr-BE"/>
        </w:rPr>
      </w:pP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>de burgemeesters en schepenen</w:t>
      </w:r>
    </w:p>
    <w:p w:rsidR="003D2E31" w:rsidRPr="00D928F5" w:rsidRDefault="003D2E31" w:rsidP="003D2E31">
      <w:pPr>
        <w:pStyle w:val="Voetnoottekst"/>
        <w:numPr>
          <w:ilvl w:val="0"/>
          <w:numId w:val="1"/>
        </w:numPr>
        <w:rPr>
          <w:rFonts w:asciiTheme="majorHAnsi" w:hAnsiTheme="majorHAnsi"/>
          <w:i/>
          <w:sz w:val="16"/>
          <w:szCs w:val="16"/>
        </w:rPr>
      </w:pP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>de OCMW-voorzitters en de leden van de vaste bureaus van de OCMW’s</w:t>
      </w:r>
    </w:p>
    <w:p w:rsidR="003D2E31" w:rsidRPr="00D928F5" w:rsidRDefault="003D2E31" w:rsidP="003D2E31">
      <w:pPr>
        <w:pStyle w:val="Voetnoottekst"/>
        <w:numPr>
          <w:ilvl w:val="0"/>
          <w:numId w:val="1"/>
        </w:numPr>
        <w:rPr>
          <w:rFonts w:asciiTheme="majorHAnsi" w:hAnsiTheme="majorHAnsi"/>
          <w:i/>
          <w:sz w:val="16"/>
          <w:szCs w:val="16"/>
          <w:lang w:val="fr-BE"/>
        </w:rPr>
      </w:pP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>de gemeenteraadsleden</w:t>
      </w:r>
    </w:p>
    <w:p w:rsidR="003D2E31" w:rsidRPr="00D928F5" w:rsidRDefault="003D2E31" w:rsidP="003D2E31">
      <w:pPr>
        <w:pStyle w:val="Voetnoottekst"/>
        <w:numPr>
          <w:ilvl w:val="0"/>
          <w:numId w:val="1"/>
        </w:numPr>
        <w:rPr>
          <w:rFonts w:asciiTheme="majorHAnsi" w:hAnsiTheme="majorHAnsi"/>
          <w:sz w:val="16"/>
          <w:szCs w:val="16"/>
          <w:lang w:val="fr-BE"/>
        </w:rPr>
      </w:pP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>de OCMW-raadsleden</w:t>
      </w:r>
    </w:p>
  </w:footnote>
  <w:footnote w:id="3">
    <w:p w:rsidR="003D2E31" w:rsidRPr="00D928F5" w:rsidRDefault="003D2E31" w:rsidP="003D2E31">
      <w:pPr>
        <w:pStyle w:val="Voetnoottekst"/>
        <w:rPr>
          <w:rFonts w:asciiTheme="majorHAnsi" w:hAnsiTheme="majorHAnsi"/>
          <w:i/>
          <w:sz w:val="16"/>
          <w:szCs w:val="16"/>
        </w:rPr>
      </w:pPr>
      <w:r w:rsidRPr="00D928F5">
        <w:rPr>
          <w:rStyle w:val="Voetnootmarkering"/>
          <w:rFonts w:asciiTheme="majorHAnsi" w:hAnsiTheme="majorHAnsi"/>
          <w:sz w:val="16"/>
          <w:szCs w:val="16"/>
        </w:rPr>
        <w:footnoteRef/>
      </w: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 xml:space="preserve"> De bedoelde mandaten zijn die van: </w:t>
      </w:r>
    </w:p>
    <w:p w:rsidR="003D2E31" w:rsidRPr="00D928F5" w:rsidRDefault="003D2E31" w:rsidP="003D2E31">
      <w:pPr>
        <w:pStyle w:val="Voetnoottekst"/>
        <w:numPr>
          <w:ilvl w:val="0"/>
          <w:numId w:val="2"/>
        </w:numPr>
        <w:rPr>
          <w:rFonts w:asciiTheme="majorHAnsi" w:hAnsiTheme="majorHAnsi"/>
          <w:i/>
          <w:sz w:val="16"/>
          <w:szCs w:val="16"/>
        </w:rPr>
      </w:pP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>de leden van een bestuurs-, beheers- of adviesorgaan van een gewestelijke of lokale openbare instelling,</w:t>
      </w:r>
    </w:p>
    <w:p w:rsidR="003D2E31" w:rsidRPr="00D928F5" w:rsidRDefault="003D2E31" w:rsidP="003D2E31">
      <w:pPr>
        <w:pStyle w:val="Voetnoottekst"/>
        <w:numPr>
          <w:ilvl w:val="0"/>
          <w:numId w:val="2"/>
        </w:numPr>
        <w:rPr>
          <w:rFonts w:asciiTheme="majorHAnsi" w:hAnsiTheme="majorHAnsi"/>
          <w:i/>
          <w:sz w:val="16"/>
          <w:szCs w:val="16"/>
        </w:rPr>
      </w:pPr>
      <w:r w:rsidRPr="00D928F5">
        <w:rPr>
          <w:rFonts w:asciiTheme="majorHAnsi" w:eastAsia="Calibri" w:hAnsiTheme="majorHAnsi" w:cs="Calibri"/>
          <w:i/>
          <w:iCs/>
          <w:sz w:val="16"/>
          <w:szCs w:val="16"/>
          <w:bdr w:val="nil"/>
        </w:rPr>
        <w:t xml:space="preserve">de leden van een bestuurs-, beheers- of adviesorgaan van een gewestelijke en lokale openbare instelling, </w:t>
      </w:r>
    </w:p>
    <w:p w:rsidR="003D2E31" w:rsidRPr="009E50CB" w:rsidRDefault="003D2E31" w:rsidP="003D2E31">
      <w:pPr>
        <w:pStyle w:val="Voetnoottekst"/>
        <w:numPr>
          <w:ilvl w:val="0"/>
          <w:numId w:val="2"/>
        </w:numPr>
        <w:rPr>
          <w:rFonts w:ascii="Constantia" w:hAnsi="Constantia"/>
          <w:i/>
          <w:sz w:val="16"/>
          <w:szCs w:val="16"/>
        </w:rPr>
      </w:pPr>
      <w:r w:rsidRPr="009E50CB">
        <w:rPr>
          <w:rFonts w:ascii="Constantia" w:eastAsia="Calibri" w:hAnsi="Constantia" w:cs="Calibri"/>
          <w:i/>
          <w:iCs/>
          <w:sz w:val="16"/>
          <w:szCs w:val="16"/>
          <w:bdr w:val="nil"/>
        </w:rPr>
        <w:t xml:space="preserve">de leden van een bestuurs-, beheers- of adviesorgaan van een openbare bicommunautaire instelling, </w:t>
      </w:r>
    </w:p>
    <w:p w:rsidR="003D2E31" w:rsidRPr="009E50CB" w:rsidRDefault="003D2E31" w:rsidP="003D2E31">
      <w:pPr>
        <w:pStyle w:val="Voetnoottekst"/>
        <w:numPr>
          <w:ilvl w:val="0"/>
          <w:numId w:val="2"/>
        </w:numPr>
        <w:jc w:val="both"/>
        <w:rPr>
          <w:rFonts w:ascii="Constantia" w:hAnsi="Constantia"/>
          <w:i/>
          <w:sz w:val="16"/>
          <w:szCs w:val="16"/>
        </w:rPr>
      </w:pPr>
      <w:r w:rsidRPr="009E50CB">
        <w:rPr>
          <w:rFonts w:ascii="Constantia" w:eastAsia="Calibri" w:hAnsi="Constantia" w:cs="Calibri"/>
          <w:i/>
          <w:iCs/>
          <w:sz w:val="16"/>
          <w:szCs w:val="16"/>
          <w:bdr w:val="nil"/>
        </w:rPr>
        <w:t>elke andere persoon die door de Regering en/of het Verenigd College wordt aangewezen om haar en/of het te vertegenwoordigen in de raad van bestuur van om het even welke structuur met rechtspersoonlijkheid.</w:t>
      </w:r>
    </w:p>
    <w:p w:rsidR="003D2E31" w:rsidRPr="00193110" w:rsidRDefault="003D2E31" w:rsidP="003D2E31">
      <w:pPr>
        <w:pStyle w:val="Voetnootteks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3402"/>
    <w:multiLevelType w:val="hybridMultilevel"/>
    <w:tmpl w:val="72661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63F"/>
    <w:multiLevelType w:val="hybridMultilevel"/>
    <w:tmpl w:val="3DB005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01D7"/>
    <w:multiLevelType w:val="hybridMultilevel"/>
    <w:tmpl w:val="8916B4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1"/>
    <w:rsid w:val="003D2E31"/>
    <w:rsid w:val="009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A705-2518-4FDC-912A-71D817D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E31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3D2E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D2E31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2E31"/>
    <w:rPr>
      <w:vertAlign w:val="superscript"/>
    </w:rPr>
  </w:style>
  <w:style w:type="table" w:styleId="Tabelraster">
    <w:name w:val="Table Grid"/>
    <w:basedOn w:val="Standaardtabel"/>
    <w:uiPriority w:val="39"/>
    <w:rsid w:val="003D2E3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3D2E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2E31"/>
    <w:rPr>
      <w:rFonts w:eastAsiaTheme="minorEastAsia"/>
      <w:color w:val="5A5A5A" w:themeColor="text1" w:themeTint="A5"/>
      <w:spacing w:val="15"/>
      <w:lang w:val="nl-BE"/>
    </w:rPr>
  </w:style>
  <w:style w:type="paragraph" w:customStyle="1" w:styleId="chapitre">
    <w:name w:val="chapitre"/>
    <w:basedOn w:val="Standaard"/>
    <w:link w:val="chapitreCar"/>
    <w:qFormat/>
    <w:rsid w:val="003D2E31"/>
    <w:pPr>
      <w:pageBreakBefore/>
      <w:autoSpaceDE w:val="0"/>
      <w:autoSpaceDN w:val="0"/>
      <w:adjustRightInd w:val="0"/>
      <w:spacing w:after="0" w:line="240" w:lineRule="auto"/>
      <w:jc w:val="both"/>
    </w:pPr>
    <w:rPr>
      <w:rFonts w:asciiTheme="majorHAnsi" w:hAnsiTheme="majorHAnsi" w:cs="Corbel"/>
      <w:b/>
      <w:bCs/>
      <w:color w:val="304E9A"/>
      <w:sz w:val="36"/>
      <w:szCs w:val="36"/>
      <w:lang w:val="fr-BE"/>
    </w:rPr>
  </w:style>
  <w:style w:type="character" w:customStyle="1" w:styleId="chapitreCar">
    <w:name w:val="chapitre Car"/>
    <w:basedOn w:val="Standaardalinea-lettertype"/>
    <w:link w:val="chapitre"/>
    <w:rsid w:val="003D2E31"/>
    <w:rPr>
      <w:rFonts w:asciiTheme="majorHAnsi" w:hAnsiTheme="majorHAnsi" w:cs="Corbel"/>
      <w:b/>
      <w:bCs/>
      <w:color w:val="304E9A"/>
      <w:sz w:val="36"/>
      <w:szCs w:val="36"/>
      <w:lang w:val="fr-BE"/>
    </w:rPr>
  </w:style>
  <w:style w:type="paragraph" w:customStyle="1" w:styleId="titrevade">
    <w:name w:val="titre vade"/>
    <w:basedOn w:val="Standaard"/>
    <w:link w:val="titrevadeCar"/>
    <w:qFormat/>
    <w:rsid w:val="003D2E31"/>
    <w:pPr>
      <w:autoSpaceDE w:val="0"/>
      <w:autoSpaceDN w:val="0"/>
      <w:adjustRightInd w:val="0"/>
      <w:spacing w:after="0" w:line="240" w:lineRule="auto"/>
      <w:jc w:val="both"/>
    </w:pPr>
    <w:rPr>
      <w:rFonts w:asciiTheme="majorHAnsi" w:hAnsiTheme="majorHAnsi" w:cs="Corbel"/>
      <w:b/>
      <w:bCs/>
      <w:color w:val="304E9A"/>
      <w:sz w:val="48"/>
      <w:szCs w:val="48"/>
      <w:lang w:val="fr-BE"/>
    </w:rPr>
  </w:style>
  <w:style w:type="character" w:customStyle="1" w:styleId="titrevadeCar">
    <w:name w:val="titre vade Car"/>
    <w:basedOn w:val="Standaardalinea-lettertype"/>
    <w:link w:val="titrevade"/>
    <w:rsid w:val="003D2E31"/>
    <w:rPr>
      <w:rFonts w:asciiTheme="majorHAnsi" w:hAnsiTheme="majorHAnsi" w:cs="Corbel"/>
      <w:b/>
      <w:bCs/>
      <w:color w:val="304E9A"/>
      <w:sz w:val="48"/>
      <w:szCs w:val="48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3D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E3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D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E31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Heyneman</dc:creator>
  <cp:keywords/>
  <dc:description/>
  <cp:lastModifiedBy>Christophe Heyneman</cp:lastModifiedBy>
  <cp:revision>1</cp:revision>
  <dcterms:created xsi:type="dcterms:W3CDTF">2020-11-30T13:23:00Z</dcterms:created>
  <dcterms:modified xsi:type="dcterms:W3CDTF">2020-11-30T13:27:00Z</dcterms:modified>
</cp:coreProperties>
</file>