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405427" w:rsidRPr="00174939">
        <w:tc>
          <w:tcPr>
            <w:tcW w:w="4818" w:type="dxa"/>
            <w:tcBorders>
              <w:top w:val="single" w:sz="1" w:space="0" w:color="000000"/>
              <w:left w:val="single" w:sz="1" w:space="0" w:color="000000"/>
              <w:bottom w:val="single" w:sz="1" w:space="0" w:color="000000"/>
            </w:tcBorders>
            <w:shd w:val="clear" w:color="auto" w:fill="auto"/>
          </w:tcPr>
          <w:p w:rsidR="00405427" w:rsidRPr="00174939" w:rsidRDefault="00E16E9E" w:rsidP="00023882">
            <w:pPr>
              <w:rPr>
                <w:rFonts w:asciiTheme="minorHAnsi" w:hAnsiTheme="minorHAnsi"/>
                <w:b/>
                <w:bCs/>
                <w:sz w:val="22"/>
                <w:szCs w:val="22"/>
                <w:lang w:val="nl-BE"/>
              </w:rPr>
            </w:pPr>
            <w:r w:rsidRPr="00174939">
              <w:rPr>
                <w:rFonts w:asciiTheme="minorHAnsi" w:hAnsiTheme="minorHAnsi"/>
                <w:b/>
                <w:bCs/>
                <w:sz w:val="22"/>
                <w:szCs w:val="22"/>
                <w:lang w:val="nl-BE"/>
              </w:rPr>
              <w:t>BRUSSELS HOOFDSTEDELIJK</w:t>
            </w:r>
            <w:r w:rsidR="00CD2D9C" w:rsidRPr="00174939">
              <w:rPr>
                <w:rFonts w:asciiTheme="minorHAnsi" w:hAnsiTheme="minorHAnsi"/>
                <w:b/>
                <w:bCs/>
                <w:sz w:val="22"/>
                <w:szCs w:val="22"/>
                <w:lang w:val="nl-BE"/>
              </w:rPr>
              <w:t xml:space="preserve"> </w:t>
            </w:r>
            <w:r w:rsidR="00C6097C" w:rsidRPr="00174939">
              <w:rPr>
                <w:rFonts w:asciiTheme="minorHAnsi" w:hAnsiTheme="minorHAnsi"/>
                <w:b/>
                <w:bCs/>
                <w:sz w:val="22"/>
                <w:szCs w:val="22"/>
                <w:lang w:val="nl-BE"/>
              </w:rPr>
              <w:t>PARLEMENT</w:t>
            </w:r>
          </w:p>
          <w:p w:rsidR="00405427" w:rsidRPr="00174939" w:rsidRDefault="00405427">
            <w:pPr>
              <w:ind w:right="113"/>
              <w:jc w:val="both"/>
              <w:rPr>
                <w:rFonts w:asciiTheme="minorHAnsi" w:hAnsiTheme="minorHAnsi"/>
                <w:b/>
                <w:bCs/>
                <w:sz w:val="22"/>
                <w:szCs w:val="22"/>
                <w:lang w:val="nl-BE"/>
              </w:rPr>
            </w:pPr>
          </w:p>
          <w:p w:rsidR="00405427" w:rsidRPr="00174939" w:rsidRDefault="00DE1890" w:rsidP="00BE0147">
            <w:pPr>
              <w:jc w:val="both"/>
              <w:rPr>
                <w:rFonts w:asciiTheme="minorHAnsi" w:hAnsiTheme="minorHAnsi"/>
                <w:b/>
                <w:bCs/>
                <w:sz w:val="22"/>
                <w:szCs w:val="22"/>
                <w:lang w:val="nl-BE"/>
              </w:rPr>
            </w:pPr>
            <w:r w:rsidRPr="00174939">
              <w:rPr>
                <w:rFonts w:asciiTheme="minorHAnsi" w:hAnsiTheme="minorHAnsi"/>
                <w:b/>
                <w:sz w:val="22"/>
                <w:szCs w:val="22"/>
                <w:lang w:val="nl-BE"/>
              </w:rPr>
              <w:t xml:space="preserve">Vervanging van de ontslagnemende leden van de Brusselse Controlecommissie (BCC) </w:t>
            </w:r>
            <w:r w:rsidR="000060F9" w:rsidRPr="00174939">
              <w:rPr>
                <w:rFonts w:asciiTheme="minorHAnsi" w:hAnsiTheme="minorHAnsi"/>
                <w:b/>
                <w:sz w:val="22"/>
                <w:szCs w:val="22"/>
                <w:lang w:val="nl-BE"/>
              </w:rPr>
              <w:t>–</w:t>
            </w:r>
            <w:r w:rsidRPr="00174939">
              <w:rPr>
                <w:rFonts w:asciiTheme="minorHAnsi" w:hAnsiTheme="minorHAnsi"/>
                <w:b/>
                <w:sz w:val="22"/>
                <w:szCs w:val="22"/>
                <w:lang w:val="nl-BE"/>
              </w:rPr>
              <w:t xml:space="preserve"> </w:t>
            </w:r>
            <w:r w:rsidR="00BE0147">
              <w:rPr>
                <w:rFonts w:asciiTheme="minorHAnsi" w:hAnsiTheme="minorHAnsi"/>
                <w:sz w:val="22"/>
                <w:szCs w:val="22"/>
                <w:lang w:val="nl-BE"/>
              </w:rPr>
              <w:t>O</w:t>
            </w:r>
            <w:r w:rsidRPr="00174939">
              <w:rPr>
                <w:rFonts w:asciiTheme="minorHAnsi" w:hAnsiTheme="minorHAnsi"/>
                <w:sz w:val="22"/>
                <w:szCs w:val="22"/>
                <w:lang w:val="nl-BE"/>
              </w:rPr>
              <w:t>proep tot k</w:t>
            </w:r>
            <w:r w:rsidR="00F6641E">
              <w:rPr>
                <w:rFonts w:asciiTheme="minorHAnsi" w:hAnsiTheme="minorHAnsi"/>
                <w:sz w:val="22"/>
                <w:szCs w:val="22"/>
                <w:lang w:val="nl-BE"/>
              </w:rPr>
              <w:t>andidaten voor twee informatici</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rsidR="00405427" w:rsidRPr="00174939" w:rsidRDefault="00E16E9E">
            <w:pPr>
              <w:jc w:val="both"/>
              <w:rPr>
                <w:rFonts w:asciiTheme="minorHAnsi" w:hAnsiTheme="minorHAnsi"/>
                <w:b/>
                <w:bCs/>
                <w:sz w:val="22"/>
                <w:szCs w:val="22"/>
              </w:rPr>
            </w:pPr>
            <w:r w:rsidRPr="00174939">
              <w:rPr>
                <w:rFonts w:asciiTheme="minorHAnsi" w:hAnsiTheme="minorHAnsi"/>
                <w:b/>
                <w:bCs/>
                <w:sz w:val="22"/>
                <w:szCs w:val="22"/>
              </w:rPr>
              <w:t>PARLEMENT DE</w:t>
            </w:r>
            <w:r w:rsidR="00C6097C" w:rsidRPr="00174939">
              <w:rPr>
                <w:rFonts w:asciiTheme="minorHAnsi" w:hAnsiTheme="minorHAnsi"/>
                <w:b/>
                <w:bCs/>
                <w:sz w:val="22"/>
                <w:szCs w:val="22"/>
              </w:rPr>
              <w:t xml:space="preserve"> LA REGION DE BRUXELLES-CAPITALE</w:t>
            </w:r>
          </w:p>
          <w:p w:rsidR="00C8188E" w:rsidRPr="00174939" w:rsidRDefault="00C8188E" w:rsidP="0025437D">
            <w:pPr>
              <w:jc w:val="both"/>
              <w:rPr>
                <w:rFonts w:asciiTheme="minorHAnsi" w:hAnsiTheme="minorHAnsi"/>
                <w:b/>
                <w:bCs/>
                <w:sz w:val="22"/>
                <w:szCs w:val="22"/>
              </w:rPr>
            </w:pPr>
          </w:p>
          <w:p w:rsidR="00405427" w:rsidRPr="00174939" w:rsidRDefault="00D26657" w:rsidP="001F2533">
            <w:pPr>
              <w:jc w:val="both"/>
              <w:rPr>
                <w:rFonts w:asciiTheme="minorHAnsi" w:hAnsiTheme="minorHAnsi"/>
              </w:rPr>
            </w:pPr>
            <w:r w:rsidRPr="00174939">
              <w:rPr>
                <w:rFonts w:asciiTheme="minorHAnsi" w:hAnsiTheme="minorHAnsi"/>
                <w:b/>
                <w:bCs/>
                <w:sz w:val="22"/>
                <w:szCs w:val="22"/>
              </w:rPr>
              <w:t xml:space="preserve">Remplacement des membres démissionnaires de la </w:t>
            </w:r>
            <w:r w:rsidR="00D857D3" w:rsidRPr="00174939">
              <w:rPr>
                <w:rFonts w:asciiTheme="minorHAnsi" w:hAnsiTheme="minorHAnsi"/>
                <w:b/>
                <w:bCs/>
                <w:sz w:val="22"/>
                <w:szCs w:val="22"/>
              </w:rPr>
              <w:t>Co</w:t>
            </w:r>
            <w:r w:rsidR="009B4192" w:rsidRPr="00174939">
              <w:rPr>
                <w:rFonts w:asciiTheme="minorHAnsi" w:hAnsiTheme="minorHAnsi"/>
                <w:b/>
                <w:bCs/>
                <w:sz w:val="22"/>
                <w:szCs w:val="22"/>
              </w:rPr>
              <w:t>mmission</w:t>
            </w:r>
            <w:r w:rsidR="00B23AC1" w:rsidRPr="00174939">
              <w:rPr>
                <w:rFonts w:asciiTheme="minorHAnsi" w:hAnsiTheme="minorHAnsi"/>
                <w:b/>
                <w:bCs/>
                <w:sz w:val="22"/>
                <w:szCs w:val="22"/>
              </w:rPr>
              <w:t xml:space="preserve"> </w:t>
            </w:r>
            <w:r w:rsidRPr="00174939">
              <w:rPr>
                <w:rFonts w:asciiTheme="minorHAnsi" w:hAnsiTheme="minorHAnsi"/>
                <w:b/>
                <w:bCs/>
                <w:sz w:val="22"/>
                <w:szCs w:val="22"/>
              </w:rPr>
              <w:t xml:space="preserve">de contrôle </w:t>
            </w:r>
            <w:r w:rsidR="00B23AC1" w:rsidRPr="00174939">
              <w:rPr>
                <w:rFonts w:asciiTheme="minorHAnsi" w:hAnsiTheme="minorHAnsi"/>
                <w:b/>
                <w:bCs/>
                <w:sz w:val="22"/>
                <w:szCs w:val="22"/>
              </w:rPr>
              <w:t>bruxelloise</w:t>
            </w:r>
            <w:r w:rsidRPr="00174939">
              <w:rPr>
                <w:rFonts w:asciiTheme="minorHAnsi" w:hAnsiTheme="minorHAnsi"/>
                <w:b/>
                <w:bCs/>
                <w:sz w:val="22"/>
                <w:szCs w:val="22"/>
              </w:rPr>
              <w:t xml:space="preserve"> (CCB)</w:t>
            </w:r>
            <w:r w:rsidR="009B4192" w:rsidRPr="00174939">
              <w:rPr>
                <w:rFonts w:asciiTheme="minorHAnsi" w:hAnsiTheme="minorHAnsi"/>
                <w:b/>
                <w:bCs/>
                <w:sz w:val="22"/>
                <w:szCs w:val="22"/>
              </w:rPr>
              <w:t xml:space="preserve"> </w:t>
            </w:r>
            <w:r w:rsidR="00E16E9E" w:rsidRPr="00174939">
              <w:rPr>
                <w:rFonts w:asciiTheme="minorHAnsi" w:hAnsiTheme="minorHAnsi"/>
                <w:b/>
                <w:bCs/>
                <w:sz w:val="22"/>
                <w:szCs w:val="22"/>
              </w:rPr>
              <w:t xml:space="preserve">– </w:t>
            </w:r>
            <w:r w:rsidR="001F2533">
              <w:rPr>
                <w:rFonts w:asciiTheme="minorHAnsi" w:hAnsiTheme="minorHAnsi"/>
                <w:bCs/>
                <w:sz w:val="22"/>
                <w:szCs w:val="22"/>
              </w:rPr>
              <w:t>A</w:t>
            </w:r>
            <w:r w:rsidRPr="00F6641E">
              <w:rPr>
                <w:rFonts w:asciiTheme="minorHAnsi" w:hAnsiTheme="minorHAnsi"/>
                <w:bCs/>
                <w:sz w:val="22"/>
                <w:szCs w:val="22"/>
                <w:lang w:val="fr-FR"/>
              </w:rPr>
              <w:t xml:space="preserve">ppel </w:t>
            </w:r>
            <w:r w:rsidRPr="00174939">
              <w:rPr>
                <w:rFonts w:asciiTheme="minorHAnsi" w:hAnsiTheme="minorHAnsi"/>
                <w:bCs/>
                <w:sz w:val="22"/>
                <w:szCs w:val="22"/>
                <w:lang w:val="fr-FR"/>
              </w:rPr>
              <w:t xml:space="preserve">à candidatures </w:t>
            </w:r>
            <w:r w:rsidR="001F2533">
              <w:rPr>
                <w:rFonts w:asciiTheme="minorHAnsi" w:hAnsiTheme="minorHAnsi"/>
                <w:bCs/>
                <w:sz w:val="22"/>
                <w:szCs w:val="22"/>
                <w:lang w:val="fr-FR"/>
              </w:rPr>
              <w:t>pour</w:t>
            </w:r>
            <w:r w:rsidRPr="00174939">
              <w:rPr>
                <w:rFonts w:asciiTheme="minorHAnsi" w:hAnsiTheme="minorHAnsi"/>
                <w:bCs/>
                <w:sz w:val="22"/>
                <w:szCs w:val="22"/>
                <w:lang w:val="fr-FR"/>
              </w:rPr>
              <w:t xml:space="preserve"> deux </w:t>
            </w:r>
            <w:r w:rsidR="00F6641E">
              <w:rPr>
                <w:rFonts w:asciiTheme="minorHAnsi" w:hAnsiTheme="minorHAnsi"/>
                <w:bCs/>
                <w:sz w:val="22"/>
                <w:szCs w:val="22"/>
                <w:lang w:val="fr-FR"/>
              </w:rPr>
              <w:t>informaticiens</w:t>
            </w:r>
          </w:p>
        </w:tc>
      </w:tr>
      <w:tr w:rsidR="00405427" w:rsidRPr="00FA1C7C">
        <w:tc>
          <w:tcPr>
            <w:tcW w:w="4818" w:type="dxa"/>
            <w:tcBorders>
              <w:left w:val="single" w:sz="1" w:space="0" w:color="000000"/>
              <w:bottom w:val="single" w:sz="1" w:space="0" w:color="000000"/>
            </w:tcBorders>
            <w:shd w:val="clear" w:color="auto" w:fill="auto"/>
          </w:tcPr>
          <w:p w:rsidR="00CC44C5" w:rsidRDefault="00CC44C5" w:rsidP="00ED24E6">
            <w:pPr>
              <w:ind w:right="141"/>
              <w:jc w:val="both"/>
              <w:rPr>
                <w:rFonts w:asciiTheme="minorHAnsi" w:hAnsiTheme="minorHAnsi"/>
                <w:sz w:val="22"/>
                <w:szCs w:val="22"/>
                <w:lang w:val="nl-BE"/>
              </w:rPr>
            </w:pPr>
            <w:r w:rsidRPr="00174939">
              <w:rPr>
                <w:rFonts w:asciiTheme="minorHAnsi" w:hAnsiTheme="minorHAnsi"/>
                <w:sz w:val="22"/>
                <w:szCs w:val="22"/>
                <w:lang w:val="nl-BE"/>
              </w:rPr>
              <w:t>Op 6 januari 2020 heeft het Bureau in uitgebreide samenstelling van het Brussels Hoofdstedelijk Parlement beslist om een oproep tot kandidaten te doen ter vervanging van de ontslagnemende leden van de Brusselse Controlecommissie, die is opgericht bij de ordonnantie van 8 mei 2014 betreffende de oprichting en organisatie van een gewestelijke dienstenintegrator.</w:t>
            </w:r>
          </w:p>
          <w:p w:rsidR="00C03B65" w:rsidRPr="00174939" w:rsidRDefault="00C03B65" w:rsidP="00ED24E6">
            <w:pPr>
              <w:ind w:right="141"/>
              <w:jc w:val="both"/>
              <w:rPr>
                <w:rFonts w:asciiTheme="minorHAnsi" w:hAnsiTheme="minorHAnsi"/>
                <w:sz w:val="22"/>
                <w:szCs w:val="22"/>
                <w:lang w:val="nl-BE"/>
              </w:rPr>
            </w:pPr>
          </w:p>
          <w:p w:rsidR="000060F9" w:rsidRDefault="006523CE" w:rsidP="002077FE">
            <w:pPr>
              <w:ind w:right="142"/>
              <w:contextualSpacing/>
              <w:jc w:val="both"/>
              <w:rPr>
                <w:rFonts w:asciiTheme="minorHAnsi" w:hAnsiTheme="minorHAnsi"/>
                <w:sz w:val="22"/>
                <w:szCs w:val="22"/>
                <w:lang w:val="nl-BE"/>
              </w:rPr>
            </w:pPr>
            <w:r>
              <w:rPr>
                <w:rFonts w:asciiTheme="minorHAnsi" w:hAnsiTheme="minorHAnsi"/>
                <w:sz w:val="22"/>
                <w:szCs w:val="22"/>
                <w:lang w:val="nl-BE"/>
              </w:rPr>
              <w:t xml:space="preserve">Deze oproep </w:t>
            </w:r>
            <w:r w:rsidR="0068523F">
              <w:rPr>
                <w:rFonts w:asciiTheme="minorHAnsi" w:hAnsiTheme="minorHAnsi"/>
                <w:sz w:val="22"/>
                <w:szCs w:val="22"/>
                <w:lang w:val="nl-BE"/>
              </w:rPr>
              <w:t xml:space="preserve">beoogt </w:t>
            </w:r>
            <w:r w:rsidR="00C03B65">
              <w:rPr>
                <w:rFonts w:asciiTheme="minorHAnsi" w:hAnsiTheme="minorHAnsi"/>
                <w:sz w:val="22"/>
                <w:szCs w:val="22"/>
                <w:lang w:val="nl-BE"/>
              </w:rPr>
              <w:t xml:space="preserve">twee informatici </w:t>
            </w:r>
            <w:r w:rsidR="0068523F">
              <w:rPr>
                <w:rFonts w:asciiTheme="minorHAnsi" w:hAnsiTheme="minorHAnsi"/>
                <w:sz w:val="22"/>
                <w:szCs w:val="22"/>
                <w:lang w:val="nl-BE"/>
              </w:rPr>
              <w:t xml:space="preserve">aan te duiden </w:t>
            </w:r>
            <w:r w:rsidR="00C03B65">
              <w:rPr>
                <w:rFonts w:asciiTheme="minorHAnsi" w:hAnsiTheme="minorHAnsi"/>
                <w:sz w:val="22"/>
                <w:szCs w:val="22"/>
                <w:lang w:val="nl-BE"/>
              </w:rPr>
              <w:t>binnen de bovengenoemde commissie.</w:t>
            </w:r>
          </w:p>
          <w:p w:rsidR="002077FE" w:rsidRPr="00174939" w:rsidRDefault="002077FE" w:rsidP="002077FE">
            <w:pPr>
              <w:ind w:right="142"/>
              <w:contextualSpacing/>
              <w:jc w:val="both"/>
              <w:rPr>
                <w:rFonts w:asciiTheme="minorHAnsi" w:hAnsiTheme="minorHAnsi"/>
                <w:sz w:val="22"/>
                <w:szCs w:val="22"/>
                <w:lang w:val="nl-BE"/>
              </w:rPr>
            </w:pPr>
          </w:p>
          <w:p w:rsidR="00CC44C5" w:rsidRPr="00174939" w:rsidRDefault="0003426E" w:rsidP="002077FE">
            <w:pPr>
              <w:pStyle w:val="Paragraphedeliste"/>
              <w:numPr>
                <w:ilvl w:val="0"/>
                <w:numId w:val="13"/>
              </w:numPr>
              <w:spacing w:before="0" w:after="0"/>
              <w:ind w:left="312" w:right="142" w:hanging="284"/>
              <w:rPr>
                <w:rFonts w:eastAsia="Times New Roman"/>
                <w:b/>
                <w:lang w:eastAsia="fr-FR"/>
              </w:rPr>
            </w:pPr>
            <w:r w:rsidRPr="00174939">
              <w:rPr>
                <w:b/>
                <w:u w:val="single"/>
              </w:rPr>
              <w:t>Opdrachten van de Controlecommissie</w:t>
            </w:r>
          </w:p>
          <w:p w:rsidR="002077FE" w:rsidRDefault="002077FE" w:rsidP="00F32B4C">
            <w:pPr>
              <w:contextualSpacing/>
              <w:jc w:val="both"/>
              <w:rPr>
                <w:rFonts w:asciiTheme="minorHAnsi" w:hAnsiTheme="minorHAnsi"/>
                <w:sz w:val="22"/>
                <w:szCs w:val="22"/>
                <w:lang w:val="nl-BE"/>
              </w:rPr>
            </w:pPr>
          </w:p>
          <w:p w:rsidR="00FA521E" w:rsidRPr="00174939" w:rsidRDefault="00FA521E" w:rsidP="00F32B4C">
            <w:pPr>
              <w:contextualSpacing/>
              <w:jc w:val="both"/>
              <w:rPr>
                <w:rFonts w:asciiTheme="minorHAnsi" w:hAnsiTheme="minorHAnsi"/>
                <w:sz w:val="22"/>
                <w:szCs w:val="22"/>
                <w:lang w:val="nl-BE"/>
              </w:rPr>
            </w:pPr>
            <w:r w:rsidRPr="00174939">
              <w:rPr>
                <w:rFonts w:asciiTheme="minorHAnsi" w:hAnsiTheme="minorHAnsi"/>
                <w:sz w:val="22"/>
                <w:szCs w:val="22"/>
                <w:lang w:val="nl-BE"/>
              </w:rPr>
              <w:t>De ordonnantie van 8 mei 2014 strekt ertoe de door de administratie gebruikte elektronische gegevens te centraliseren. De uitwisseling van de gegevens wordt georganiseerd door de gewestelijke dienstenintegrator, het CIBG (art. 8 van de ordonnantie).</w:t>
            </w:r>
          </w:p>
          <w:p w:rsidR="00DF41A7" w:rsidRPr="00174939" w:rsidRDefault="00DF41A7" w:rsidP="00F32B4C">
            <w:pPr>
              <w:contextualSpacing/>
              <w:jc w:val="both"/>
              <w:rPr>
                <w:rFonts w:asciiTheme="minorHAnsi" w:hAnsiTheme="minorHAnsi"/>
                <w:sz w:val="22"/>
                <w:szCs w:val="22"/>
                <w:lang w:val="nl-BE"/>
              </w:rPr>
            </w:pPr>
          </w:p>
          <w:p w:rsidR="00AE7240" w:rsidRDefault="00FA521E" w:rsidP="00FA521E">
            <w:pPr>
              <w:contextualSpacing/>
              <w:jc w:val="both"/>
              <w:rPr>
                <w:rFonts w:asciiTheme="minorHAnsi" w:hAnsiTheme="minorHAnsi"/>
                <w:sz w:val="22"/>
                <w:szCs w:val="22"/>
                <w:lang w:val="nl-BE"/>
              </w:rPr>
            </w:pPr>
            <w:r w:rsidRPr="00174939">
              <w:rPr>
                <w:rFonts w:asciiTheme="minorHAnsi" w:hAnsiTheme="minorHAnsi"/>
                <w:sz w:val="22"/>
                <w:szCs w:val="22"/>
                <w:lang w:val="nl-BE"/>
              </w:rPr>
              <w:t xml:space="preserve">In dat kader heeft de Controlecommissie de bevoegdheid om toezicht te houden op de uitwisseling van de gegevens en de verwerking van beelden, onder meer </w:t>
            </w:r>
            <w:r w:rsidR="00B479F6" w:rsidRPr="00174939">
              <w:rPr>
                <w:rFonts w:asciiTheme="minorHAnsi" w:hAnsiTheme="minorHAnsi"/>
                <w:sz w:val="22"/>
                <w:szCs w:val="22"/>
                <w:lang w:val="nl-BE"/>
              </w:rPr>
              <w:t xml:space="preserve">wat </w:t>
            </w:r>
            <w:r w:rsidRPr="00174939">
              <w:rPr>
                <w:rFonts w:asciiTheme="minorHAnsi" w:hAnsiTheme="minorHAnsi"/>
                <w:sz w:val="22"/>
                <w:szCs w:val="22"/>
                <w:lang w:val="nl-BE"/>
              </w:rPr>
              <w:t>de videobewaking betreft:</w:t>
            </w:r>
          </w:p>
          <w:p w:rsidR="009C34B2" w:rsidRPr="00546660" w:rsidRDefault="009C34B2" w:rsidP="009C34B2">
            <w:pPr>
              <w:rPr>
                <w:rFonts w:asciiTheme="minorHAnsi" w:hAnsiTheme="minorHAnsi"/>
                <w:sz w:val="22"/>
                <w:szCs w:val="22"/>
                <w:lang w:val="nl-NL"/>
              </w:rPr>
            </w:pPr>
          </w:p>
          <w:p w:rsidR="00FA521E" w:rsidRPr="00174939" w:rsidRDefault="00FA521E" w:rsidP="00B51563">
            <w:pPr>
              <w:pStyle w:val="Paragraphedeliste"/>
              <w:numPr>
                <w:ilvl w:val="0"/>
                <w:numId w:val="14"/>
              </w:numPr>
              <w:spacing w:before="0" w:after="0"/>
              <w:ind w:left="743" w:hanging="425"/>
            </w:pPr>
            <w:r w:rsidRPr="00174939">
              <w:t xml:space="preserve">De Controlecommissie heeft de bevoegdheid om </w:t>
            </w:r>
            <w:r w:rsidRPr="00174939">
              <w:rPr>
                <w:u w:val="single"/>
              </w:rPr>
              <w:t>adviezen en aanbevelingen</w:t>
            </w:r>
            <w:r w:rsidRPr="00174939">
              <w:t xml:space="preserve"> uit te brengen over de oprichting van gegevensbanken (art</w:t>
            </w:r>
            <w:r w:rsidR="00062505">
              <w:t>.</w:t>
            </w:r>
            <w:r w:rsidRPr="00174939">
              <w:t xml:space="preserve"> 5) of van een verwijzingsrepertorium (art</w:t>
            </w:r>
            <w:r w:rsidR="00062505">
              <w:t>.</w:t>
            </w:r>
            <w:r w:rsidRPr="00174939">
              <w:t xml:space="preserve"> 9), de bewaringstermijn van de gegevens (art</w:t>
            </w:r>
            <w:r w:rsidR="00062505">
              <w:t>.</w:t>
            </w:r>
            <w:r w:rsidRPr="00174939">
              <w:t xml:space="preserve"> 9) of nog de aanstelling van de veiligheidsadviseurs (art</w:t>
            </w:r>
            <w:r w:rsidR="00062505">
              <w:t>.</w:t>
            </w:r>
            <w:r w:rsidRPr="00174939">
              <w:t> 24).</w:t>
            </w:r>
          </w:p>
          <w:p w:rsidR="00FA521E" w:rsidRPr="00174939" w:rsidRDefault="00FA521E" w:rsidP="00FA521E">
            <w:pPr>
              <w:jc w:val="both"/>
              <w:rPr>
                <w:rFonts w:asciiTheme="minorHAnsi" w:hAnsiTheme="minorHAnsi"/>
                <w:sz w:val="22"/>
                <w:szCs w:val="22"/>
                <w:lang w:val="nl-BE"/>
              </w:rPr>
            </w:pPr>
          </w:p>
          <w:p w:rsidR="00FA521E" w:rsidRPr="00174939" w:rsidRDefault="00FA521E" w:rsidP="00FA721C">
            <w:pPr>
              <w:pStyle w:val="Paragraphedeliste"/>
              <w:numPr>
                <w:ilvl w:val="0"/>
                <w:numId w:val="14"/>
              </w:numPr>
              <w:spacing w:before="0" w:after="0"/>
              <w:ind w:left="740" w:hanging="425"/>
              <w:contextualSpacing w:val="0"/>
            </w:pPr>
            <w:r w:rsidRPr="00174939">
              <w:t xml:space="preserve">Anderzijds verleent de Controlecommissie </w:t>
            </w:r>
            <w:r w:rsidRPr="00174939">
              <w:rPr>
                <w:u w:val="single"/>
              </w:rPr>
              <w:t>machtigingen</w:t>
            </w:r>
            <w:r w:rsidRPr="00174939">
              <w:t xml:space="preserve"> voor de elektronische mededeling van persoonsgegevens (art</w:t>
            </w:r>
            <w:r w:rsidR="00062505">
              <w:t>.</w:t>
            </w:r>
            <w:r w:rsidRPr="00174939">
              <w:t xml:space="preserve"> 12).</w:t>
            </w:r>
          </w:p>
          <w:p w:rsidR="00FA521E" w:rsidRDefault="00FA521E" w:rsidP="003A7843">
            <w:pPr>
              <w:contextualSpacing/>
              <w:jc w:val="both"/>
              <w:rPr>
                <w:rFonts w:asciiTheme="minorHAnsi" w:hAnsiTheme="minorHAnsi"/>
                <w:sz w:val="22"/>
                <w:szCs w:val="22"/>
                <w:lang w:val="nl-BE"/>
              </w:rPr>
            </w:pPr>
          </w:p>
          <w:p w:rsidR="003A7843" w:rsidRPr="003A7843" w:rsidRDefault="003A7843" w:rsidP="003A7843">
            <w:pPr>
              <w:contextualSpacing/>
              <w:jc w:val="both"/>
              <w:rPr>
                <w:rFonts w:asciiTheme="minorHAnsi" w:hAnsiTheme="minorHAnsi"/>
                <w:sz w:val="22"/>
                <w:szCs w:val="22"/>
                <w:lang w:val="nl-BE"/>
              </w:rPr>
            </w:pPr>
          </w:p>
          <w:p w:rsidR="00FA521E" w:rsidRDefault="00FA521E" w:rsidP="003A7843">
            <w:pPr>
              <w:pStyle w:val="Paragraphedeliste"/>
              <w:numPr>
                <w:ilvl w:val="0"/>
                <w:numId w:val="14"/>
              </w:numPr>
              <w:spacing w:before="0" w:after="0"/>
              <w:ind w:left="743" w:hanging="425"/>
            </w:pPr>
            <w:r w:rsidRPr="00174939">
              <w:t xml:space="preserve">De Controlecommissie ontvangt de </w:t>
            </w:r>
            <w:r w:rsidRPr="00174939">
              <w:rPr>
                <w:u w:val="single"/>
              </w:rPr>
              <w:t>klachten</w:t>
            </w:r>
            <w:r w:rsidRPr="00174939">
              <w:t xml:space="preserve"> van </w:t>
            </w:r>
            <w:r w:rsidR="00B479F6" w:rsidRPr="00174939">
              <w:t xml:space="preserve">elke persoon die een belang aantoont, </w:t>
            </w:r>
            <w:r w:rsidRPr="00174939">
              <w:t>over een dienst die ongeoorloofd gebruik heeft gemaakt van de machtiging om gegevens mee te delen (art</w:t>
            </w:r>
            <w:r w:rsidR="00062505">
              <w:t>.</w:t>
            </w:r>
            <w:r w:rsidRPr="00174939">
              <w:t xml:space="preserve"> 33).</w:t>
            </w:r>
          </w:p>
          <w:p w:rsidR="007F59C9" w:rsidRDefault="007F59C9" w:rsidP="00FA521E">
            <w:pPr>
              <w:jc w:val="both"/>
              <w:rPr>
                <w:rFonts w:asciiTheme="minorHAnsi" w:hAnsiTheme="minorHAnsi"/>
                <w:sz w:val="22"/>
                <w:szCs w:val="22"/>
                <w:lang w:val="nl-BE"/>
              </w:rPr>
            </w:pPr>
          </w:p>
          <w:p w:rsidR="00AE4070" w:rsidRDefault="00AE4070" w:rsidP="00FA521E">
            <w:pPr>
              <w:jc w:val="both"/>
              <w:rPr>
                <w:rFonts w:asciiTheme="minorHAnsi" w:hAnsiTheme="minorHAnsi"/>
                <w:sz w:val="22"/>
                <w:szCs w:val="22"/>
                <w:lang w:val="nl-BE"/>
              </w:rPr>
            </w:pPr>
          </w:p>
          <w:p w:rsidR="00AE4070" w:rsidRDefault="00AE4070" w:rsidP="00FA521E">
            <w:pPr>
              <w:jc w:val="both"/>
              <w:rPr>
                <w:rFonts w:asciiTheme="minorHAnsi" w:hAnsiTheme="minorHAnsi"/>
                <w:sz w:val="22"/>
                <w:szCs w:val="22"/>
                <w:lang w:val="nl-BE"/>
              </w:rPr>
            </w:pPr>
          </w:p>
          <w:p w:rsidR="00FA521E" w:rsidRPr="00174939" w:rsidRDefault="00FA521E" w:rsidP="007F59C9">
            <w:pPr>
              <w:contextualSpacing/>
              <w:jc w:val="both"/>
              <w:rPr>
                <w:rFonts w:asciiTheme="minorHAnsi" w:hAnsiTheme="minorHAnsi"/>
                <w:sz w:val="22"/>
                <w:szCs w:val="22"/>
                <w:lang w:val="nl-BE"/>
              </w:rPr>
            </w:pPr>
            <w:r w:rsidRPr="00174939">
              <w:rPr>
                <w:rFonts w:asciiTheme="minorHAnsi" w:hAnsiTheme="minorHAnsi"/>
                <w:sz w:val="22"/>
                <w:szCs w:val="22"/>
                <w:lang w:val="nl-BE"/>
              </w:rPr>
              <w:lastRenderedPageBreak/>
              <w:t>De Controlecommissie kan elke deelnemende openbare dienst verzoeken om haar toegang te verlenen tot dossiers of informatie die nuttig worden geacht (ar</w:t>
            </w:r>
            <w:r w:rsidR="00062505">
              <w:rPr>
                <w:rFonts w:asciiTheme="minorHAnsi" w:hAnsiTheme="minorHAnsi"/>
                <w:sz w:val="22"/>
                <w:szCs w:val="22"/>
                <w:lang w:val="nl-BE"/>
              </w:rPr>
              <w:t>t.</w:t>
            </w:r>
            <w:r w:rsidRPr="00174939">
              <w:rPr>
                <w:rFonts w:asciiTheme="minorHAnsi" w:hAnsiTheme="minorHAnsi"/>
                <w:sz w:val="22"/>
                <w:szCs w:val="22"/>
                <w:lang w:val="nl-BE"/>
              </w:rPr>
              <w:t xml:space="preserve"> 7).</w:t>
            </w:r>
          </w:p>
          <w:p w:rsidR="00FA521E" w:rsidRPr="00174939" w:rsidRDefault="00FA521E" w:rsidP="007F59C9">
            <w:pPr>
              <w:contextualSpacing/>
              <w:jc w:val="both"/>
              <w:rPr>
                <w:rFonts w:asciiTheme="minorHAnsi" w:hAnsiTheme="minorHAnsi"/>
                <w:sz w:val="22"/>
                <w:szCs w:val="22"/>
                <w:lang w:val="nl-BE"/>
              </w:rPr>
            </w:pPr>
          </w:p>
          <w:p w:rsidR="00FA521E" w:rsidRPr="00174939" w:rsidRDefault="00FA521E" w:rsidP="007F59C9">
            <w:pPr>
              <w:contextualSpacing/>
              <w:jc w:val="both"/>
              <w:rPr>
                <w:rFonts w:asciiTheme="minorHAnsi" w:hAnsiTheme="minorHAnsi"/>
                <w:sz w:val="22"/>
                <w:szCs w:val="22"/>
                <w:lang w:val="nl-BE"/>
              </w:rPr>
            </w:pPr>
            <w:r w:rsidRPr="00174939">
              <w:rPr>
                <w:rFonts w:asciiTheme="minorHAnsi" w:hAnsiTheme="minorHAnsi"/>
                <w:sz w:val="22"/>
                <w:szCs w:val="22"/>
                <w:lang w:val="nl-BE"/>
              </w:rPr>
              <w:t>De Controlecommissie telt zes vaste leden en zes plaatsvervangende leden, die door het Parlement worden aangewezen voor een hernieuwbare termijn van vijf jaar. Ten minste een derde van de leden is Nederlandstalig en de voorzitter behoort tot een andere taalrol dan de ondervoorzitter.</w:t>
            </w:r>
          </w:p>
          <w:p w:rsidR="00FA521E" w:rsidRPr="00174939" w:rsidRDefault="00FA521E" w:rsidP="00FA521E">
            <w:pPr>
              <w:jc w:val="both"/>
              <w:rPr>
                <w:rFonts w:asciiTheme="minorHAnsi" w:hAnsiTheme="minorHAnsi"/>
                <w:sz w:val="22"/>
                <w:szCs w:val="22"/>
                <w:lang w:val="nl-BE"/>
              </w:rPr>
            </w:pPr>
          </w:p>
          <w:p w:rsidR="00F02981" w:rsidRPr="00174939" w:rsidRDefault="00FA18CD" w:rsidP="002B2395">
            <w:pPr>
              <w:pStyle w:val="Paragraphedeliste"/>
              <w:numPr>
                <w:ilvl w:val="0"/>
                <w:numId w:val="13"/>
              </w:numPr>
              <w:spacing w:before="0" w:after="0"/>
              <w:ind w:left="312" w:right="142" w:hanging="284"/>
              <w:rPr>
                <w:rFonts w:eastAsia="Times New Roman"/>
                <w:b/>
                <w:lang w:eastAsia="fr-FR"/>
              </w:rPr>
            </w:pPr>
            <w:r w:rsidRPr="00174939">
              <w:rPr>
                <w:b/>
                <w:u w:val="single"/>
              </w:rPr>
              <w:t>Vereist profiel</w:t>
            </w:r>
          </w:p>
          <w:p w:rsidR="002B2395" w:rsidRDefault="002B2395" w:rsidP="00FE531D">
            <w:pPr>
              <w:jc w:val="both"/>
              <w:rPr>
                <w:rFonts w:asciiTheme="minorHAnsi" w:hAnsiTheme="minorHAnsi"/>
                <w:sz w:val="22"/>
                <w:szCs w:val="22"/>
                <w:lang w:val="nl-BE"/>
              </w:rPr>
            </w:pPr>
          </w:p>
          <w:p w:rsidR="00FE531D" w:rsidRDefault="00FE531D" w:rsidP="00FE531D">
            <w:pPr>
              <w:jc w:val="both"/>
              <w:rPr>
                <w:rFonts w:asciiTheme="minorHAnsi" w:hAnsiTheme="minorHAnsi"/>
                <w:sz w:val="22"/>
                <w:szCs w:val="22"/>
                <w:lang w:val="nl-BE"/>
              </w:rPr>
            </w:pPr>
            <w:r w:rsidRPr="00174939">
              <w:rPr>
                <w:rFonts w:asciiTheme="minorHAnsi" w:hAnsiTheme="minorHAnsi"/>
                <w:sz w:val="22"/>
                <w:szCs w:val="22"/>
                <w:lang w:val="nl-BE"/>
              </w:rPr>
              <w:t xml:space="preserve">Het Parlement is op zoek naar </w:t>
            </w:r>
            <w:r w:rsidR="008C4AFC">
              <w:rPr>
                <w:rFonts w:asciiTheme="minorHAnsi" w:hAnsiTheme="minorHAnsi"/>
                <w:sz w:val="22"/>
                <w:szCs w:val="22"/>
                <w:lang w:val="nl-BE"/>
              </w:rPr>
              <w:t>2</w:t>
            </w:r>
            <w:r w:rsidRPr="00174939">
              <w:rPr>
                <w:rFonts w:asciiTheme="minorHAnsi" w:hAnsiTheme="minorHAnsi"/>
                <w:sz w:val="22"/>
                <w:szCs w:val="22"/>
                <w:lang w:val="nl-BE"/>
              </w:rPr>
              <w:t xml:space="preserve"> personen met een specifieke kwalificatie:</w:t>
            </w:r>
          </w:p>
          <w:p w:rsidR="002B2395" w:rsidRPr="00174939" w:rsidRDefault="002B2395" w:rsidP="00FE531D">
            <w:pPr>
              <w:jc w:val="both"/>
              <w:rPr>
                <w:rFonts w:asciiTheme="minorHAnsi" w:hAnsiTheme="minorHAnsi"/>
                <w:sz w:val="22"/>
                <w:szCs w:val="22"/>
                <w:lang w:val="nl-BE"/>
              </w:rPr>
            </w:pPr>
          </w:p>
          <w:p w:rsidR="00FE531D" w:rsidRPr="00174939" w:rsidRDefault="00FE531D" w:rsidP="00FE531D">
            <w:pPr>
              <w:pStyle w:val="Paragraphedeliste"/>
              <w:numPr>
                <w:ilvl w:val="0"/>
                <w:numId w:val="20"/>
              </w:numPr>
              <w:spacing w:before="0" w:after="0"/>
            </w:pPr>
            <w:r w:rsidRPr="00174939">
              <w:t xml:space="preserve">twee informatici (een vast lid </w:t>
            </w:r>
            <w:r w:rsidR="008C4AFC">
              <w:t>en een plaatsvervangend lid).</w:t>
            </w:r>
          </w:p>
          <w:p w:rsidR="008C4AFC" w:rsidRDefault="008C4AFC" w:rsidP="00FE531D">
            <w:pPr>
              <w:jc w:val="both"/>
              <w:rPr>
                <w:rFonts w:asciiTheme="minorHAnsi" w:hAnsiTheme="minorHAnsi"/>
                <w:sz w:val="22"/>
                <w:szCs w:val="22"/>
                <w:lang w:val="nl-BE"/>
              </w:rPr>
            </w:pPr>
          </w:p>
          <w:p w:rsidR="00FE531D" w:rsidRDefault="00FE531D" w:rsidP="002B2395">
            <w:pPr>
              <w:contextualSpacing/>
              <w:jc w:val="both"/>
              <w:rPr>
                <w:rFonts w:asciiTheme="minorHAnsi" w:hAnsiTheme="minorHAnsi"/>
                <w:sz w:val="22"/>
                <w:szCs w:val="22"/>
                <w:lang w:val="nl-BE"/>
              </w:rPr>
            </w:pPr>
            <w:r w:rsidRPr="00174939">
              <w:rPr>
                <w:rFonts w:asciiTheme="minorHAnsi" w:hAnsiTheme="minorHAnsi"/>
                <w:sz w:val="22"/>
                <w:szCs w:val="22"/>
                <w:lang w:val="nl-BE"/>
              </w:rPr>
              <w:t>Om de onafhankelijkheid van de Controlecommissie te waarborgen, moet de kandidaat voldoen aan de volgende voorwaarden:</w:t>
            </w:r>
          </w:p>
          <w:p w:rsidR="00FE531D" w:rsidRPr="00174939" w:rsidRDefault="00FE531D" w:rsidP="00FE531D">
            <w:pPr>
              <w:jc w:val="both"/>
              <w:rPr>
                <w:rFonts w:asciiTheme="minorHAnsi" w:hAnsiTheme="minorHAnsi"/>
                <w:sz w:val="22"/>
                <w:szCs w:val="22"/>
                <w:lang w:val="nl-BE"/>
              </w:rPr>
            </w:pPr>
          </w:p>
          <w:p w:rsidR="00FE531D" w:rsidRPr="00174939" w:rsidRDefault="00FE531D" w:rsidP="00FE531D">
            <w:pPr>
              <w:jc w:val="both"/>
              <w:rPr>
                <w:rFonts w:asciiTheme="minorHAnsi" w:hAnsiTheme="minorHAnsi"/>
                <w:sz w:val="22"/>
                <w:szCs w:val="22"/>
                <w:lang w:val="nl-BE"/>
              </w:rPr>
            </w:pPr>
            <w:r w:rsidRPr="00174939">
              <w:rPr>
                <w:rFonts w:asciiTheme="minorHAnsi" w:hAnsiTheme="minorHAnsi"/>
                <w:sz w:val="22"/>
                <w:szCs w:val="22"/>
                <w:lang w:val="nl-BE"/>
              </w:rPr>
              <w:t>1° de burgerlijke en politieke rechten genieten;</w:t>
            </w:r>
          </w:p>
          <w:p w:rsidR="00FE531D" w:rsidRPr="00174939" w:rsidRDefault="00FE531D" w:rsidP="002B2395">
            <w:pPr>
              <w:contextualSpacing/>
              <w:jc w:val="both"/>
              <w:rPr>
                <w:rFonts w:asciiTheme="minorHAnsi" w:hAnsiTheme="minorHAnsi"/>
                <w:sz w:val="22"/>
                <w:szCs w:val="22"/>
                <w:lang w:val="nl-BE"/>
              </w:rPr>
            </w:pPr>
          </w:p>
          <w:p w:rsidR="00FE531D" w:rsidRPr="00174939" w:rsidRDefault="00FE531D" w:rsidP="00FB7BAC">
            <w:pPr>
              <w:contextualSpacing/>
              <w:jc w:val="both"/>
              <w:rPr>
                <w:rFonts w:asciiTheme="minorHAnsi" w:hAnsiTheme="minorHAnsi"/>
                <w:sz w:val="22"/>
                <w:szCs w:val="22"/>
                <w:lang w:val="nl-BE"/>
              </w:rPr>
            </w:pPr>
            <w:r w:rsidRPr="00174939">
              <w:rPr>
                <w:rFonts w:asciiTheme="minorHAnsi" w:hAnsiTheme="minorHAnsi"/>
                <w:sz w:val="22"/>
                <w:szCs w:val="22"/>
                <w:lang w:val="nl-BE"/>
              </w:rPr>
              <w:t xml:space="preserve">2° geen lid zijn van het Europees Parlement, de Senaat, de Kamer van Volksvertegenwoordigers, het Brussels Hoofdstedelijk Parlement of een ander </w:t>
            </w:r>
            <w:r w:rsidR="005E75AC">
              <w:rPr>
                <w:rFonts w:asciiTheme="minorHAnsi" w:hAnsiTheme="minorHAnsi"/>
                <w:sz w:val="22"/>
                <w:szCs w:val="22"/>
                <w:lang w:val="nl-BE"/>
              </w:rPr>
              <w:t>G</w:t>
            </w:r>
            <w:r w:rsidRPr="00174939">
              <w:rPr>
                <w:rFonts w:asciiTheme="minorHAnsi" w:hAnsiTheme="minorHAnsi"/>
                <w:sz w:val="22"/>
                <w:szCs w:val="22"/>
                <w:lang w:val="nl-BE"/>
              </w:rPr>
              <w:t xml:space="preserve">emeenschaps- of </w:t>
            </w:r>
            <w:r w:rsidR="005E75AC">
              <w:rPr>
                <w:rFonts w:asciiTheme="minorHAnsi" w:hAnsiTheme="minorHAnsi"/>
                <w:sz w:val="22"/>
                <w:szCs w:val="22"/>
                <w:lang w:val="nl-BE"/>
              </w:rPr>
              <w:t>G</w:t>
            </w:r>
            <w:r w:rsidRPr="00174939">
              <w:rPr>
                <w:rFonts w:asciiTheme="minorHAnsi" w:hAnsiTheme="minorHAnsi"/>
                <w:sz w:val="22"/>
                <w:szCs w:val="22"/>
                <w:lang w:val="nl-BE"/>
              </w:rPr>
              <w:t>ewestparlement;</w:t>
            </w:r>
          </w:p>
          <w:p w:rsidR="00FE531D" w:rsidRPr="00174939" w:rsidRDefault="00FE531D" w:rsidP="00FB7BAC">
            <w:pPr>
              <w:contextualSpacing/>
              <w:jc w:val="both"/>
              <w:rPr>
                <w:rFonts w:asciiTheme="minorHAnsi" w:hAnsiTheme="minorHAnsi"/>
                <w:sz w:val="22"/>
                <w:szCs w:val="22"/>
                <w:lang w:val="nl-BE"/>
              </w:rPr>
            </w:pPr>
          </w:p>
          <w:p w:rsidR="00FE531D" w:rsidRPr="00174939" w:rsidRDefault="00FE531D" w:rsidP="00FE531D">
            <w:pPr>
              <w:jc w:val="both"/>
              <w:rPr>
                <w:rFonts w:asciiTheme="minorHAnsi" w:hAnsiTheme="minorHAnsi"/>
                <w:sz w:val="22"/>
                <w:szCs w:val="22"/>
                <w:lang w:val="nl-BE"/>
              </w:rPr>
            </w:pPr>
            <w:r w:rsidRPr="00174939">
              <w:rPr>
                <w:rFonts w:asciiTheme="minorHAnsi" w:hAnsiTheme="minorHAnsi"/>
                <w:sz w:val="22"/>
                <w:szCs w:val="22"/>
                <w:lang w:val="nl-BE"/>
              </w:rPr>
              <w:t>3° niet onder het hiërarchisch gezag staan van het Brussels Hoofdstedelijk Parlement of de Brusselse Hoofdstedelijke Regering;</w:t>
            </w:r>
          </w:p>
          <w:p w:rsidR="00FE531D" w:rsidRPr="00174939" w:rsidRDefault="00FE531D" w:rsidP="00FE531D">
            <w:pPr>
              <w:jc w:val="both"/>
              <w:rPr>
                <w:rFonts w:asciiTheme="minorHAnsi" w:hAnsiTheme="minorHAnsi"/>
                <w:sz w:val="22"/>
                <w:szCs w:val="22"/>
                <w:lang w:val="nl-BE"/>
              </w:rPr>
            </w:pPr>
          </w:p>
          <w:p w:rsidR="00FE531D" w:rsidRPr="00174939" w:rsidRDefault="00FE531D" w:rsidP="00FB7BAC">
            <w:pPr>
              <w:contextualSpacing/>
              <w:jc w:val="both"/>
              <w:rPr>
                <w:rFonts w:asciiTheme="minorHAnsi" w:hAnsiTheme="minorHAnsi"/>
                <w:sz w:val="22"/>
                <w:szCs w:val="22"/>
                <w:lang w:val="nl-BE"/>
              </w:rPr>
            </w:pPr>
            <w:r w:rsidRPr="00174939">
              <w:rPr>
                <w:rFonts w:asciiTheme="minorHAnsi" w:hAnsiTheme="minorHAnsi"/>
                <w:sz w:val="22"/>
                <w:szCs w:val="22"/>
                <w:lang w:val="nl-BE"/>
              </w:rPr>
              <w:t>4° de onafhankelijke uitoefening van zijn opdracht garanderen;</w:t>
            </w:r>
          </w:p>
          <w:p w:rsidR="00FE531D" w:rsidRPr="00174939" w:rsidRDefault="00FE531D" w:rsidP="00FE531D">
            <w:pPr>
              <w:jc w:val="both"/>
              <w:rPr>
                <w:rFonts w:asciiTheme="minorHAnsi" w:hAnsiTheme="minorHAnsi"/>
                <w:sz w:val="22"/>
                <w:szCs w:val="22"/>
                <w:lang w:val="nl-BE"/>
              </w:rPr>
            </w:pPr>
          </w:p>
          <w:p w:rsidR="00FE531D" w:rsidRPr="00174939" w:rsidRDefault="00FE531D" w:rsidP="00FE531D">
            <w:pPr>
              <w:jc w:val="both"/>
              <w:rPr>
                <w:rFonts w:asciiTheme="minorHAnsi" w:hAnsiTheme="minorHAnsi"/>
                <w:sz w:val="22"/>
                <w:szCs w:val="22"/>
                <w:lang w:val="nl-BE"/>
              </w:rPr>
            </w:pPr>
            <w:r w:rsidRPr="00174939">
              <w:rPr>
                <w:rFonts w:asciiTheme="minorHAnsi" w:hAnsiTheme="minorHAnsi"/>
                <w:sz w:val="22"/>
                <w:szCs w:val="22"/>
                <w:lang w:val="nl-BE"/>
              </w:rPr>
              <w:t>5° geen lid zijn van een dienstenintegrator.</w:t>
            </w:r>
          </w:p>
          <w:p w:rsidR="00FE531D" w:rsidRPr="00174939" w:rsidRDefault="00FE531D" w:rsidP="006728DF">
            <w:pPr>
              <w:contextualSpacing/>
              <w:jc w:val="both"/>
              <w:rPr>
                <w:rFonts w:asciiTheme="minorHAnsi" w:hAnsiTheme="minorHAnsi"/>
                <w:sz w:val="22"/>
                <w:szCs w:val="22"/>
                <w:lang w:val="nl-BE"/>
              </w:rPr>
            </w:pPr>
          </w:p>
          <w:p w:rsidR="00FE531D" w:rsidRPr="00174939" w:rsidRDefault="00FE531D" w:rsidP="00FE531D">
            <w:pPr>
              <w:jc w:val="both"/>
              <w:rPr>
                <w:rFonts w:asciiTheme="minorHAnsi" w:hAnsiTheme="minorHAnsi"/>
                <w:sz w:val="22"/>
                <w:szCs w:val="22"/>
                <w:lang w:val="nl-BE"/>
              </w:rPr>
            </w:pPr>
            <w:r w:rsidRPr="00174939">
              <w:rPr>
                <w:rFonts w:asciiTheme="minorHAnsi" w:hAnsiTheme="minorHAnsi"/>
                <w:sz w:val="22"/>
                <w:szCs w:val="22"/>
                <w:lang w:val="nl-BE"/>
              </w:rPr>
              <w:t>De leden van de Controlecommissie ontvangen een presentiegeld van 223,18 </w:t>
            </w:r>
            <w:r w:rsidR="00EB4A14" w:rsidRPr="00174939">
              <w:rPr>
                <w:rFonts w:asciiTheme="minorHAnsi" w:hAnsiTheme="minorHAnsi"/>
                <w:sz w:val="22"/>
                <w:szCs w:val="22"/>
                <w:lang w:val="nl-BE"/>
              </w:rPr>
              <w:t xml:space="preserve"> </w:t>
            </w:r>
            <w:r w:rsidRPr="00174939">
              <w:rPr>
                <w:rFonts w:asciiTheme="minorHAnsi" w:hAnsiTheme="minorHAnsi"/>
                <w:sz w:val="22"/>
                <w:szCs w:val="22"/>
                <w:lang w:val="nl-BE"/>
              </w:rPr>
              <w:t>euro, geïndexeerd tegen het indexcijfer van de consumptieprijzen.</w:t>
            </w:r>
          </w:p>
          <w:p w:rsidR="00B85C71" w:rsidRPr="00174939" w:rsidRDefault="00B85C71" w:rsidP="00FE531D">
            <w:pPr>
              <w:jc w:val="both"/>
              <w:rPr>
                <w:rFonts w:asciiTheme="minorHAnsi" w:hAnsiTheme="minorHAnsi"/>
                <w:sz w:val="22"/>
                <w:szCs w:val="22"/>
                <w:lang w:val="nl-BE"/>
              </w:rPr>
            </w:pPr>
          </w:p>
          <w:p w:rsidR="00FE531D" w:rsidRPr="00174939" w:rsidRDefault="00FE531D" w:rsidP="00FE531D">
            <w:pPr>
              <w:jc w:val="both"/>
              <w:rPr>
                <w:rFonts w:asciiTheme="minorHAnsi" w:hAnsiTheme="minorHAnsi"/>
                <w:sz w:val="22"/>
                <w:szCs w:val="22"/>
                <w:lang w:val="nl-BE"/>
              </w:rPr>
            </w:pPr>
            <w:r w:rsidRPr="00174939">
              <w:rPr>
                <w:rFonts w:asciiTheme="minorHAnsi" w:hAnsiTheme="minorHAnsi"/>
                <w:sz w:val="22"/>
                <w:szCs w:val="22"/>
                <w:lang w:val="nl-BE"/>
              </w:rPr>
              <w:t xml:space="preserve">De kandidaten worden verzocht hun curriculum vitae en een nota met hun motivatie per aangetekende post naar het Parlement te sturen </w:t>
            </w:r>
            <w:r w:rsidR="00B479F6" w:rsidRPr="00174939">
              <w:rPr>
                <w:rFonts w:asciiTheme="minorHAnsi" w:hAnsiTheme="minorHAnsi"/>
                <w:sz w:val="22"/>
                <w:szCs w:val="22"/>
                <w:lang w:val="nl-BE"/>
              </w:rPr>
              <w:t xml:space="preserve">naar </w:t>
            </w:r>
            <w:r w:rsidRPr="00174939">
              <w:rPr>
                <w:rFonts w:asciiTheme="minorHAnsi" w:hAnsiTheme="minorHAnsi"/>
                <w:sz w:val="22"/>
                <w:szCs w:val="22"/>
                <w:lang w:val="nl-BE"/>
              </w:rPr>
              <w:t>het volgende adres</w:t>
            </w:r>
            <w:r w:rsidR="00DA0C14" w:rsidRPr="00174939">
              <w:rPr>
                <w:rFonts w:asciiTheme="minorHAnsi" w:hAnsiTheme="minorHAnsi"/>
                <w:sz w:val="22"/>
                <w:szCs w:val="22"/>
                <w:lang w:val="nl-BE"/>
              </w:rPr>
              <w:t xml:space="preserve"> </w:t>
            </w:r>
            <w:r w:rsidRPr="00174939">
              <w:rPr>
                <w:rFonts w:asciiTheme="minorHAnsi" w:hAnsiTheme="minorHAnsi"/>
                <w:sz w:val="22"/>
                <w:szCs w:val="22"/>
                <w:lang w:val="nl-BE"/>
              </w:rPr>
              <w:t>:</w:t>
            </w:r>
          </w:p>
          <w:p w:rsidR="000C58F8" w:rsidRPr="00174939" w:rsidRDefault="000C58F8" w:rsidP="00ED24E6">
            <w:pPr>
              <w:ind w:right="141"/>
              <w:jc w:val="both"/>
              <w:rPr>
                <w:rFonts w:asciiTheme="minorHAnsi" w:eastAsia="Times New Roman" w:hAnsiTheme="minorHAnsi"/>
                <w:sz w:val="22"/>
                <w:szCs w:val="22"/>
                <w:lang w:val="nl-BE" w:eastAsia="fr-FR"/>
              </w:rPr>
            </w:pPr>
          </w:p>
          <w:p w:rsidR="000C58F8" w:rsidRPr="00174939" w:rsidRDefault="00403F3E" w:rsidP="00ED24E6">
            <w:pPr>
              <w:ind w:right="141"/>
              <w:jc w:val="both"/>
              <w:rPr>
                <w:rFonts w:asciiTheme="minorHAnsi" w:eastAsia="Times New Roman" w:hAnsiTheme="minorHAnsi"/>
                <w:sz w:val="22"/>
                <w:szCs w:val="22"/>
                <w:lang w:val="nl-BE" w:eastAsia="fr-FR"/>
              </w:rPr>
            </w:pPr>
            <w:r w:rsidRPr="00174939">
              <w:rPr>
                <w:rFonts w:asciiTheme="minorHAnsi" w:eastAsia="Times New Roman" w:hAnsiTheme="minorHAnsi"/>
                <w:sz w:val="22"/>
                <w:szCs w:val="22"/>
                <w:lang w:val="nl-BE" w:eastAsia="fr-FR"/>
              </w:rPr>
              <w:t>Brussels Hoofdstedelijk Parlement</w:t>
            </w:r>
          </w:p>
          <w:p w:rsidR="000C58F8" w:rsidRPr="00174939" w:rsidRDefault="0030248F" w:rsidP="00ED24E6">
            <w:pPr>
              <w:ind w:right="141"/>
              <w:jc w:val="both"/>
              <w:rPr>
                <w:rFonts w:asciiTheme="minorHAnsi" w:eastAsia="Times New Roman" w:hAnsiTheme="minorHAnsi"/>
                <w:sz w:val="22"/>
                <w:szCs w:val="22"/>
                <w:lang w:val="nl-BE" w:eastAsia="fr-FR"/>
              </w:rPr>
            </w:pPr>
            <w:r w:rsidRPr="00174939">
              <w:rPr>
                <w:rFonts w:asciiTheme="minorHAnsi" w:eastAsia="Times New Roman" w:hAnsiTheme="minorHAnsi"/>
                <w:sz w:val="22"/>
                <w:szCs w:val="22"/>
                <w:lang w:val="nl-BE" w:eastAsia="fr-FR"/>
              </w:rPr>
              <w:t>Ter attentie van de Secretaris-generaal</w:t>
            </w:r>
          </w:p>
          <w:p w:rsidR="00403F3E" w:rsidRPr="00174939" w:rsidRDefault="000C58F8" w:rsidP="00ED24E6">
            <w:pPr>
              <w:ind w:right="141"/>
              <w:jc w:val="both"/>
              <w:rPr>
                <w:rFonts w:asciiTheme="minorHAnsi" w:eastAsia="Times New Roman" w:hAnsiTheme="minorHAnsi"/>
                <w:sz w:val="22"/>
                <w:szCs w:val="22"/>
                <w:lang w:val="nl-BE" w:eastAsia="fr-FR"/>
              </w:rPr>
            </w:pPr>
            <w:r w:rsidRPr="00174939">
              <w:rPr>
                <w:rFonts w:asciiTheme="minorHAnsi" w:eastAsia="Times New Roman" w:hAnsiTheme="minorHAnsi"/>
                <w:sz w:val="22"/>
                <w:szCs w:val="22"/>
                <w:lang w:val="nl-BE" w:eastAsia="fr-FR"/>
              </w:rPr>
              <w:t>1005 Brussel</w:t>
            </w:r>
          </w:p>
          <w:p w:rsidR="00046786" w:rsidRPr="00174939" w:rsidRDefault="00046786" w:rsidP="00ED24E6">
            <w:pPr>
              <w:pStyle w:val="Contenudetableau"/>
              <w:ind w:right="141"/>
              <w:jc w:val="both"/>
              <w:rPr>
                <w:rFonts w:asciiTheme="minorHAnsi" w:hAnsiTheme="minorHAnsi"/>
                <w:sz w:val="22"/>
                <w:szCs w:val="22"/>
                <w:lang w:val="nl-BE"/>
              </w:rPr>
            </w:pPr>
          </w:p>
          <w:p w:rsidR="00046786" w:rsidRPr="00174939" w:rsidRDefault="00046786" w:rsidP="00ED24E6">
            <w:pPr>
              <w:pStyle w:val="Contenudetableau"/>
              <w:ind w:right="141"/>
              <w:jc w:val="both"/>
              <w:rPr>
                <w:rFonts w:asciiTheme="minorHAnsi" w:hAnsiTheme="minorHAnsi"/>
                <w:sz w:val="22"/>
                <w:szCs w:val="22"/>
                <w:lang w:val="nl-BE"/>
              </w:rPr>
            </w:pPr>
            <w:r w:rsidRPr="00174939">
              <w:rPr>
                <w:rFonts w:asciiTheme="minorHAnsi" w:hAnsiTheme="minorHAnsi"/>
                <w:sz w:val="22"/>
                <w:szCs w:val="22"/>
                <w:lang w:val="nl-BE"/>
              </w:rPr>
              <w:t>of tijdens de kantooruren</w:t>
            </w:r>
            <w:r w:rsidR="00D049DA">
              <w:rPr>
                <w:rFonts w:asciiTheme="minorHAnsi" w:hAnsiTheme="minorHAnsi"/>
                <w:sz w:val="22"/>
                <w:szCs w:val="22"/>
                <w:lang w:val="nl-BE"/>
              </w:rPr>
              <w:t xml:space="preserve"> in te dienen</w:t>
            </w:r>
            <w:r w:rsidR="006F3B3C" w:rsidRPr="00174939">
              <w:rPr>
                <w:rFonts w:asciiTheme="minorHAnsi" w:hAnsiTheme="minorHAnsi"/>
                <w:sz w:val="22"/>
                <w:szCs w:val="22"/>
                <w:lang w:val="nl-BE"/>
              </w:rPr>
              <w:t xml:space="preserve"> </w:t>
            </w:r>
            <w:r w:rsidRPr="00174939">
              <w:rPr>
                <w:rFonts w:asciiTheme="minorHAnsi" w:hAnsiTheme="minorHAnsi"/>
                <w:sz w:val="22"/>
                <w:szCs w:val="22"/>
                <w:lang w:val="nl-BE"/>
              </w:rPr>
              <w:t>tegen ontvangstbewijs op de griffie van het Brussels Hoofdstedelijk Parlement (Eikstraat 22, 1000 Brussel).</w:t>
            </w:r>
          </w:p>
          <w:p w:rsidR="00403F3E" w:rsidRPr="00174939" w:rsidRDefault="00403F3E" w:rsidP="00ED24E6">
            <w:pPr>
              <w:ind w:right="141"/>
              <w:jc w:val="both"/>
              <w:rPr>
                <w:rFonts w:asciiTheme="minorHAnsi" w:eastAsia="Times New Roman" w:hAnsiTheme="minorHAnsi"/>
                <w:sz w:val="22"/>
                <w:szCs w:val="22"/>
                <w:lang w:val="nl-BE" w:eastAsia="fr-FR"/>
              </w:rPr>
            </w:pPr>
          </w:p>
          <w:p w:rsidR="009352E7" w:rsidRPr="00174939" w:rsidRDefault="006727DB" w:rsidP="009352E7">
            <w:pPr>
              <w:ind w:right="142"/>
              <w:jc w:val="both"/>
              <w:rPr>
                <w:rFonts w:asciiTheme="minorHAnsi" w:eastAsia="Times New Roman" w:hAnsiTheme="minorHAnsi"/>
                <w:sz w:val="22"/>
                <w:szCs w:val="22"/>
                <w:lang w:val="nl-BE" w:eastAsia="fr-FR"/>
              </w:rPr>
            </w:pPr>
            <w:r w:rsidRPr="00174939">
              <w:rPr>
                <w:rFonts w:asciiTheme="minorHAnsi" w:eastAsia="Times New Roman" w:hAnsiTheme="minorHAnsi"/>
                <w:sz w:val="22"/>
                <w:szCs w:val="22"/>
                <w:lang w:val="nl-BE" w:eastAsia="fr-FR"/>
              </w:rPr>
              <w:t>De kandida</w:t>
            </w:r>
            <w:r w:rsidR="007E1578" w:rsidRPr="00174939">
              <w:rPr>
                <w:rFonts w:asciiTheme="minorHAnsi" w:eastAsia="Times New Roman" w:hAnsiTheme="minorHAnsi"/>
                <w:sz w:val="22"/>
                <w:szCs w:val="22"/>
                <w:lang w:val="nl-BE" w:eastAsia="fr-FR"/>
              </w:rPr>
              <w:t>a</w:t>
            </w:r>
            <w:r w:rsidRPr="00174939">
              <w:rPr>
                <w:rFonts w:asciiTheme="minorHAnsi" w:eastAsia="Times New Roman" w:hAnsiTheme="minorHAnsi"/>
                <w:sz w:val="22"/>
                <w:szCs w:val="22"/>
                <w:lang w:val="nl-BE" w:eastAsia="fr-FR"/>
              </w:rPr>
              <w:t>t</w:t>
            </w:r>
            <w:r w:rsidR="007E1578" w:rsidRPr="00174939">
              <w:rPr>
                <w:rFonts w:asciiTheme="minorHAnsi" w:eastAsia="Times New Roman" w:hAnsiTheme="minorHAnsi"/>
                <w:sz w:val="22"/>
                <w:szCs w:val="22"/>
                <w:lang w:val="nl-BE" w:eastAsia="fr-FR"/>
              </w:rPr>
              <w:t>stellinge</w:t>
            </w:r>
            <w:r w:rsidRPr="00174939">
              <w:rPr>
                <w:rFonts w:asciiTheme="minorHAnsi" w:eastAsia="Times New Roman" w:hAnsiTheme="minorHAnsi"/>
                <w:sz w:val="22"/>
                <w:szCs w:val="22"/>
                <w:lang w:val="nl-BE" w:eastAsia="fr-FR"/>
              </w:rPr>
              <w:t xml:space="preserve">n dienen uiterlijk </w:t>
            </w:r>
            <w:r w:rsidRPr="00D224D2">
              <w:rPr>
                <w:rFonts w:asciiTheme="minorHAnsi" w:eastAsia="Times New Roman" w:hAnsiTheme="minorHAnsi"/>
                <w:sz w:val="22"/>
                <w:szCs w:val="22"/>
                <w:lang w:val="nl-BE" w:eastAsia="fr-FR"/>
              </w:rPr>
              <w:t xml:space="preserve">op </w:t>
            </w:r>
            <w:r w:rsidR="00D85268">
              <w:rPr>
                <w:rFonts w:asciiTheme="minorHAnsi" w:eastAsia="Times New Roman" w:hAnsiTheme="minorHAnsi"/>
                <w:sz w:val="22"/>
                <w:szCs w:val="22"/>
                <w:lang w:val="nl-BE" w:eastAsia="fr-FR"/>
              </w:rPr>
              <w:t xml:space="preserve">maandag </w:t>
            </w:r>
            <w:r w:rsidR="003661F3">
              <w:rPr>
                <w:rFonts w:asciiTheme="minorHAnsi" w:eastAsia="Times New Roman" w:hAnsiTheme="minorHAnsi"/>
                <w:sz w:val="22"/>
                <w:szCs w:val="22"/>
                <w:lang w:val="nl-BE" w:eastAsia="fr-FR"/>
              </w:rPr>
              <w:t>22</w:t>
            </w:r>
            <w:r w:rsidR="00174852" w:rsidRPr="00D224D2">
              <w:rPr>
                <w:rFonts w:asciiTheme="minorHAnsi" w:eastAsia="Times New Roman" w:hAnsiTheme="minorHAnsi"/>
                <w:sz w:val="22"/>
                <w:szCs w:val="22"/>
                <w:lang w:val="nl-BE" w:eastAsia="fr-FR"/>
              </w:rPr>
              <w:t xml:space="preserve"> </w:t>
            </w:r>
            <w:r w:rsidR="003661F3">
              <w:rPr>
                <w:rFonts w:asciiTheme="minorHAnsi" w:eastAsia="Times New Roman" w:hAnsiTheme="minorHAnsi"/>
                <w:sz w:val="22"/>
                <w:szCs w:val="22"/>
                <w:lang w:val="nl-BE" w:eastAsia="fr-FR"/>
              </w:rPr>
              <w:t>februari</w:t>
            </w:r>
            <w:r w:rsidRPr="00D224D2">
              <w:rPr>
                <w:rFonts w:asciiTheme="minorHAnsi" w:eastAsia="Times New Roman" w:hAnsiTheme="minorHAnsi"/>
                <w:sz w:val="22"/>
                <w:szCs w:val="22"/>
                <w:lang w:val="nl-BE" w:eastAsia="fr-FR"/>
              </w:rPr>
              <w:t xml:space="preserve"> 202</w:t>
            </w:r>
            <w:r w:rsidR="003661F3">
              <w:rPr>
                <w:rFonts w:asciiTheme="minorHAnsi" w:eastAsia="Times New Roman" w:hAnsiTheme="minorHAnsi"/>
                <w:sz w:val="22"/>
                <w:szCs w:val="22"/>
                <w:lang w:val="nl-BE" w:eastAsia="fr-FR"/>
              </w:rPr>
              <w:t>1</w:t>
            </w:r>
            <w:r w:rsidRPr="00D224D2">
              <w:rPr>
                <w:rFonts w:asciiTheme="minorHAnsi" w:eastAsia="Times New Roman" w:hAnsiTheme="minorHAnsi"/>
                <w:sz w:val="22"/>
                <w:szCs w:val="22"/>
                <w:lang w:val="nl-BE" w:eastAsia="fr-FR"/>
              </w:rPr>
              <w:t xml:space="preserve"> om 12 uur te worden ingediend</w:t>
            </w:r>
            <w:r w:rsidRPr="00174939">
              <w:rPr>
                <w:rFonts w:asciiTheme="minorHAnsi" w:eastAsia="Times New Roman" w:hAnsiTheme="minorHAnsi"/>
                <w:sz w:val="22"/>
                <w:szCs w:val="22"/>
                <w:lang w:val="nl-BE" w:eastAsia="fr-FR"/>
              </w:rPr>
              <w:t>.</w:t>
            </w:r>
          </w:p>
          <w:p w:rsidR="00405427" w:rsidRPr="00174939" w:rsidRDefault="00405427" w:rsidP="006727DB">
            <w:pPr>
              <w:ind w:right="141"/>
              <w:jc w:val="both"/>
              <w:rPr>
                <w:rFonts w:asciiTheme="minorHAnsi" w:hAnsiTheme="minorHAnsi"/>
                <w:sz w:val="22"/>
                <w:szCs w:val="22"/>
                <w:lang w:val="nl-BE"/>
              </w:rPr>
            </w:pPr>
          </w:p>
        </w:tc>
        <w:tc>
          <w:tcPr>
            <w:tcW w:w="4819" w:type="dxa"/>
            <w:tcBorders>
              <w:left w:val="single" w:sz="1" w:space="0" w:color="000000"/>
              <w:bottom w:val="single" w:sz="1" w:space="0" w:color="000000"/>
              <w:right w:val="single" w:sz="1" w:space="0" w:color="000000"/>
            </w:tcBorders>
            <w:shd w:val="clear" w:color="auto" w:fill="auto"/>
          </w:tcPr>
          <w:p w:rsidR="000B68B6" w:rsidRDefault="000B68B6" w:rsidP="000B68B6">
            <w:pPr>
              <w:ind w:left="33"/>
              <w:jc w:val="both"/>
              <w:rPr>
                <w:rFonts w:asciiTheme="minorHAnsi" w:hAnsiTheme="minorHAnsi"/>
                <w:sz w:val="22"/>
                <w:szCs w:val="22"/>
                <w:lang w:val="fr-FR"/>
              </w:rPr>
            </w:pPr>
            <w:r w:rsidRPr="00174939">
              <w:rPr>
                <w:rFonts w:asciiTheme="minorHAnsi" w:hAnsiTheme="minorHAnsi"/>
                <w:sz w:val="22"/>
                <w:szCs w:val="22"/>
                <w:lang w:val="fr-FR"/>
              </w:rPr>
              <w:lastRenderedPageBreak/>
              <w:t>Le Bureau élargi du Parlement de la Région de Bruxelles-Capitale a décidé le 6 janvier 2020 d'ouvrir un appel à candidatures pour remplacer les membres démissionnaires de la Commission de contrôle bruxelloise créée par l'ordonnance du 8 mai 2014 portant création et organisation d'un intégrateur de services régional.</w:t>
            </w:r>
          </w:p>
          <w:p w:rsidR="00854EFB" w:rsidRDefault="00854EFB" w:rsidP="002077FE">
            <w:pPr>
              <w:ind w:left="34"/>
              <w:contextualSpacing/>
              <w:jc w:val="both"/>
              <w:rPr>
                <w:rFonts w:asciiTheme="minorHAnsi" w:hAnsiTheme="minorHAnsi"/>
                <w:sz w:val="22"/>
                <w:szCs w:val="22"/>
                <w:lang w:val="fr-FR"/>
              </w:rPr>
            </w:pPr>
          </w:p>
          <w:p w:rsidR="00C03B65" w:rsidRDefault="00C03B65" w:rsidP="002077FE">
            <w:pPr>
              <w:ind w:left="34"/>
              <w:contextualSpacing/>
              <w:jc w:val="both"/>
              <w:rPr>
                <w:rFonts w:asciiTheme="minorHAnsi" w:hAnsiTheme="minorHAnsi"/>
                <w:sz w:val="22"/>
                <w:szCs w:val="22"/>
                <w:lang w:val="fr-FR"/>
              </w:rPr>
            </w:pPr>
          </w:p>
          <w:p w:rsidR="00335BE0" w:rsidRDefault="00335BE0" w:rsidP="002077FE">
            <w:pPr>
              <w:ind w:left="34"/>
              <w:contextualSpacing/>
              <w:jc w:val="both"/>
              <w:rPr>
                <w:rFonts w:asciiTheme="minorHAnsi" w:hAnsiTheme="minorHAnsi"/>
                <w:sz w:val="22"/>
                <w:szCs w:val="22"/>
                <w:lang w:val="fr-FR"/>
              </w:rPr>
            </w:pPr>
            <w:r w:rsidRPr="00F6641E">
              <w:rPr>
                <w:rFonts w:asciiTheme="minorHAnsi" w:hAnsiTheme="minorHAnsi"/>
                <w:sz w:val="22"/>
                <w:szCs w:val="22"/>
                <w:lang w:val="fr-FR"/>
              </w:rPr>
              <w:t xml:space="preserve">Le </w:t>
            </w:r>
            <w:r w:rsidR="00BE0147">
              <w:rPr>
                <w:rFonts w:asciiTheme="minorHAnsi" w:hAnsiTheme="minorHAnsi"/>
                <w:sz w:val="22"/>
                <w:szCs w:val="22"/>
                <w:lang w:val="fr-FR"/>
              </w:rPr>
              <w:t>présent appel vise à désigner deux informaticiens au sein de ladite commission.</w:t>
            </w:r>
          </w:p>
          <w:p w:rsidR="002077FE" w:rsidRPr="002077FE" w:rsidRDefault="002077FE" w:rsidP="002077FE">
            <w:pPr>
              <w:pStyle w:val="NormalWeb"/>
              <w:spacing w:before="0" w:beforeAutospacing="0" w:after="0"/>
              <w:ind w:left="318"/>
              <w:contextualSpacing/>
              <w:jc w:val="both"/>
              <w:rPr>
                <w:rFonts w:asciiTheme="minorHAnsi" w:hAnsiTheme="minorHAnsi"/>
                <w:sz w:val="22"/>
                <w:szCs w:val="22"/>
                <w:lang w:val="fr-FR"/>
              </w:rPr>
            </w:pPr>
          </w:p>
          <w:p w:rsidR="006E5C30" w:rsidRPr="00174939" w:rsidRDefault="006E5C30" w:rsidP="00546660">
            <w:pPr>
              <w:pStyle w:val="NormalWeb"/>
              <w:numPr>
                <w:ilvl w:val="0"/>
                <w:numId w:val="10"/>
              </w:numPr>
              <w:spacing w:before="0" w:beforeAutospacing="0" w:after="0"/>
              <w:ind w:left="318" w:hanging="284"/>
              <w:contextualSpacing/>
              <w:jc w:val="both"/>
              <w:rPr>
                <w:rFonts w:asciiTheme="minorHAnsi" w:hAnsiTheme="minorHAnsi"/>
                <w:b/>
                <w:sz w:val="22"/>
                <w:szCs w:val="22"/>
                <w:lang w:val="fr-FR"/>
              </w:rPr>
            </w:pPr>
            <w:r w:rsidRPr="00174939">
              <w:rPr>
                <w:rFonts w:asciiTheme="minorHAnsi" w:hAnsiTheme="minorHAnsi"/>
                <w:b/>
                <w:bCs/>
                <w:sz w:val="22"/>
                <w:szCs w:val="22"/>
                <w:u w:val="single"/>
                <w:lang w:val="fr-FR"/>
              </w:rPr>
              <w:t>Missions de la Commission de contrôle</w:t>
            </w:r>
          </w:p>
          <w:p w:rsidR="002077FE" w:rsidRDefault="002077FE" w:rsidP="00F32B4C">
            <w:pPr>
              <w:ind w:left="34"/>
              <w:contextualSpacing/>
              <w:jc w:val="both"/>
              <w:rPr>
                <w:rFonts w:asciiTheme="minorHAnsi" w:hAnsiTheme="minorHAnsi"/>
                <w:sz w:val="22"/>
                <w:szCs w:val="22"/>
                <w:lang w:val="fr-FR"/>
              </w:rPr>
            </w:pPr>
          </w:p>
          <w:p w:rsidR="00170B62" w:rsidRPr="00174939" w:rsidRDefault="00170B62" w:rsidP="00F32B4C">
            <w:pPr>
              <w:ind w:left="34"/>
              <w:contextualSpacing/>
              <w:jc w:val="both"/>
              <w:rPr>
                <w:rFonts w:asciiTheme="minorHAnsi" w:hAnsiTheme="minorHAnsi"/>
                <w:sz w:val="22"/>
                <w:szCs w:val="22"/>
                <w:lang w:val="fr-FR"/>
              </w:rPr>
            </w:pPr>
            <w:r w:rsidRPr="00174939">
              <w:rPr>
                <w:rFonts w:asciiTheme="minorHAnsi" w:hAnsiTheme="minorHAnsi"/>
                <w:sz w:val="22"/>
                <w:szCs w:val="22"/>
                <w:lang w:val="fr-FR"/>
              </w:rPr>
              <w:t>L'ordonnance du 8 mai 2014 a pour but de centraliser les données électroniques utilisées par l'administration. L'échange des données est organisé par l'intégrateur de services régional, c'est-à-dire le C.I.R.B. (art. 8 de l'ordonnance).</w:t>
            </w:r>
          </w:p>
          <w:p w:rsidR="00DF41A7" w:rsidRDefault="00DF41A7" w:rsidP="00F32B4C">
            <w:pPr>
              <w:ind w:left="34"/>
              <w:contextualSpacing/>
              <w:jc w:val="both"/>
              <w:rPr>
                <w:rFonts w:asciiTheme="minorHAnsi" w:hAnsiTheme="minorHAnsi"/>
                <w:sz w:val="22"/>
                <w:szCs w:val="22"/>
                <w:lang w:val="fr-FR"/>
              </w:rPr>
            </w:pPr>
          </w:p>
          <w:p w:rsidR="00546660" w:rsidRPr="00174939" w:rsidRDefault="00546660" w:rsidP="00F32B4C">
            <w:pPr>
              <w:ind w:left="34"/>
              <w:contextualSpacing/>
              <w:jc w:val="both"/>
              <w:rPr>
                <w:rFonts w:asciiTheme="minorHAnsi" w:hAnsiTheme="minorHAnsi"/>
                <w:sz w:val="22"/>
                <w:szCs w:val="22"/>
                <w:lang w:val="fr-FR"/>
              </w:rPr>
            </w:pPr>
          </w:p>
          <w:p w:rsidR="00A94AC2" w:rsidRDefault="00170B62" w:rsidP="00A063C0">
            <w:pPr>
              <w:contextualSpacing/>
              <w:jc w:val="both"/>
              <w:rPr>
                <w:rFonts w:asciiTheme="minorHAnsi" w:hAnsiTheme="minorHAnsi"/>
                <w:sz w:val="22"/>
                <w:szCs w:val="22"/>
                <w:lang w:val="fr-FR"/>
              </w:rPr>
            </w:pPr>
            <w:r w:rsidRPr="00174939">
              <w:rPr>
                <w:rFonts w:asciiTheme="minorHAnsi" w:hAnsiTheme="minorHAnsi"/>
                <w:sz w:val="22"/>
                <w:szCs w:val="22"/>
                <w:lang w:val="fr-FR"/>
              </w:rPr>
              <w:t xml:space="preserve">La Commission de contrôle exerce dans ce cadre une compétence de </w:t>
            </w:r>
            <w:r w:rsidRPr="00174939">
              <w:rPr>
                <w:rFonts w:asciiTheme="minorHAnsi" w:hAnsiTheme="minorHAnsi"/>
                <w:sz w:val="22"/>
                <w:szCs w:val="22"/>
              </w:rPr>
              <w:t>contrôle</w:t>
            </w:r>
            <w:r w:rsidRPr="00174939">
              <w:rPr>
                <w:rFonts w:asciiTheme="minorHAnsi" w:hAnsiTheme="minorHAnsi"/>
                <w:sz w:val="22"/>
                <w:szCs w:val="22"/>
                <w:lang w:val="fr-FR"/>
              </w:rPr>
              <w:t xml:space="preserve"> de l'échange des données et du traitement d'images, notamment en matière de vidéosurveillance :</w:t>
            </w:r>
          </w:p>
          <w:p w:rsidR="00546660" w:rsidRDefault="00546660" w:rsidP="00A063C0">
            <w:pPr>
              <w:contextualSpacing/>
              <w:jc w:val="both"/>
              <w:rPr>
                <w:rFonts w:asciiTheme="minorHAnsi" w:hAnsiTheme="minorHAnsi"/>
                <w:sz w:val="22"/>
                <w:szCs w:val="22"/>
                <w:lang w:val="fr-FR"/>
              </w:rPr>
            </w:pPr>
          </w:p>
          <w:p w:rsidR="00170B62" w:rsidRPr="00174939" w:rsidRDefault="00170B62" w:rsidP="00B51563">
            <w:pPr>
              <w:pStyle w:val="NormalWeb"/>
              <w:numPr>
                <w:ilvl w:val="0"/>
                <w:numId w:val="15"/>
              </w:numPr>
              <w:spacing w:before="0" w:beforeAutospacing="0" w:after="0"/>
              <w:ind w:left="714" w:hanging="357"/>
              <w:contextualSpacing/>
              <w:jc w:val="both"/>
              <w:rPr>
                <w:rFonts w:asciiTheme="minorHAnsi" w:hAnsiTheme="minorHAnsi"/>
                <w:sz w:val="22"/>
                <w:szCs w:val="22"/>
                <w:lang w:val="fr-FR"/>
              </w:rPr>
            </w:pPr>
            <w:r w:rsidRPr="00174939">
              <w:rPr>
                <w:rFonts w:asciiTheme="minorHAnsi" w:hAnsiTheme="minorHAnsi"/>
                <w:sz w:val="22"/>
                <w:szCs w:val="22"/>
                <w:lang w:val="fr-FR"/>
              </w:rPr>
              <w:t>La Commission a une compétence d'</w:t>
            </w:r>
            <w:r w:rsidRPr="00174939">
              <w:rPr>
                <w:rFonts w:asciiTheme="minorHAnsi" w:hAnsiTheme="minorHAnsi"/>
                <w:sz w:val="22"/>
                <w:szCs w:val="22"/>
                <w:u w:val="single"/>
                <w:lang w:val="fr-FR"/>
              </w:rPr>
              <w:t>avis et de recommandation</w:t>
            </w:r>
            <w:r w:rsidRPr="00174939">
              <w:rPr>
                <w:rFonts w:asciiTheme="minorHAnsi" w:hAnsiTheme="minorHAnsi"/>
                <w:sz w:val="22"/>
                <w:szCs w:val="22"/>
                <w:lang w:val="fr-FR"/>
              </w:rPr>
              <w:t>, au sujet de l'établissement de banques de données (art. 5) ou d'un répertoire de références (art. 9), du délai de conservation des données (art. 9) ou encore de la désignation des conseillers en sécurité (art. 24).</w:t>
            </w:r>
          </w:p>
          <w:p w:rsidR="009C34B2" w:rsidRPr="00174939" w:rsidRDefault="009C34B2" w:rsidP="009C34B2">
            <w:pPr>
              <w:pStyle w:val="NormalWeb"/>
              <w:spacing w:before="0" w:beforeAutospacing="0" w:after="0"/>
              <w:contextualSpacing/>
              <w:jc w:val="both"/>
              <w:rPr>
                <w:rFonts w:asciiTheme="minorHAnsi" w:hAnsiTheme="minorHAnsi"/>
                <w:sz w:val="22"/>
                <w:szCs w:val="22"/>
                <w:lang w:val="fr-FR"/>
              </w:rPr>
            </w:pPr>
          </w:p>
          <w:p w:rsidR="009C34B2" w:rsidRPr="00174939" w:rsidRDefault="009C34B2" w:rsidP="009C34B2">
            <w:pPr>
              <w:pStyle w:val="NormalWeb"/>
              <w:spacing w:before="0" w:beforeAutospacing="0" w:after="0"/>
              <w:contextualSpacing/>
              <w:jc w:val="both"/>
              <w:rPr>
                <w:rFonts w:asciiTheme="minorHAnsi" w:hAnsiTheme="minorHAnsi"/>
                <w:sz w:val="22"/>
                <w:szCs w:val="22"/>
                <w:lang w:val="fr-FR"/>
              </w:rPr>
            </w:pPr>
          </w:p>
          <w:p w:rsidR="00170B62" w:rsidRDefault="00170B62" w:rsidP="003A7843">
            <w:pPr>
              <w:pStyle w:val="NormalWeb"/>
              <w:numPr>
                <w:ilvl w:val="0"/>
                <w:numId w:val="15"/>
              </w:numPr>
              <w:spacing w:before="0" w:beforeAutospacing="0" w:after="0"/>
              <w:ind w:left="714" w:hanging="357"/>
              <w:contextualSpacing/>
              <w:jc w:val="both"/>
              <w:rPr>
                <w:rFonts w:asciiTheme="minorHAnsi" w:hAnsiTheme="minorHAnsi"/>
                <w:sz w:val="22"/>
                <w:szCs w:val="22"/>
                <w:lang w:val="fr-FR"/>
              </w:rPr>
            </w:pPr>
            <w:r w:rsidRPr="00174939">
              <w:rPr>
                <w:rFonts w:asciiTheme="minorHAnsi" w:hAnsiTheme="minorHAnsi"/>
                <w:sz w:val="22"/>
                <w:szCs w:val="22"/>
                <w:lang w:val="fr-FR"/>
              </w:rPr>
              <w:t xml:space="preserve">La Commission accorde d'autre part des </w:t>
            </w:r>
            <w:r w:rsidRPr="00174939">
              <w:rPr>
                <w:rFonts w:asciiTheme="minorHAnsi" w:hAnsiTheme="minorHAnsi"/>
                <w:sz w:val="22"/>
                <w:szCs w:val="22"/>
                <w:u w:val="single"/>
                <w:lang w:val="fr-FR"/>
              </w:rPr>
              <w:t>autorisations</w:t>
            </w:r>
            <w:r w:rsidRPr="00174939">
              <w:rPr>
                <w:rFonts w:asciiTheme="minorHAnsi" w:hAnsiTheme="minorHAnsi"/>
                <w:sz w:val="22"/>
                <w:szCs w:val="22"/>
                <w:lang w:val="fr-FR"/>
              </w:rPr>
              <w:t xml:space="preserve"> pour la communication électronique de données à caractère personnel (art</w:t>
            </w:r>
            <w:r w:rsidR="00062505">
              <w:rPr>
                <w:rFonts w:asciiTheme="minorHAnsi" w:hAnsiTheme="minorHAnsi"/>
                <w:sz w:val="22"/>
                <w:szCs w:val="22"/>
                <w:lang w:val="fr-FR"/>
              </w:rPr>
              <w:t>.</w:t>
            </w:r>
            <w:r w:rsidRPr="00174939">
              <w:rPr>
                <w:rFonts w:asciiTheme="minorHAnsi" w:hAnsiTheme="minorHAnsi"/>
                <w:sz w:val="22"/>
                <w:szCs w:val="22"/>
                <w:lang w:val="fr-FR"/>
              </w:rPr>
              <w:t xml:space="preserve"> 12).</w:t>
            </w:r>
          </w:p>
          <w:p w:rsidR="003A7843" w:rsidRPr="00174939" w:rsidRDefault="003A7843" w:rsidP="003A7843">
            <w:pPr>
              <w:pStyle w:val="NormalWeb"/>
              <w:spacing w:before="0" w:beforeAutospacing="0" w:after="0"/>
              <w:ind w:left="714"/>
              <w:contextualSpacing/>
              <w:jc w:val="both"/>
              <w:rPr>
                <w:rFonts w:asciiTheme="minorHAnsi" w:hAnsiTheme="minorHAnsi"/>
                <w:sz w:val="22"/>
                <w:szCs w:val="22"/>
                <w:lang w:val="fr-FR"/>
              </w:rPr>
            </w:pPr>
          </w:p>
          <w:p w:rsidR="00170B62" w:rsidRPr="00174939" w:rsidRDefault="00170B62" w:rsidP="003A7843">
            <w:pPr>
              <w:pStyle w:val="NormalWeb"/>
              <w:numPr>
                <w:ilvl w:val="0"/>
                <w:numId w:val="15"/>
              </w:numPr>
              <w:spacing w:before="0" w:beforeAutospacing="0" w:after="0"/>
              <w:ind w:left="714" w:hanging="357"/>
              <w:contextualSpacing/>
              <w:jc w:val="both"/>
              <w:rPr>
                <w:rFonts w:asciiTheme="minorHAnsi" w:hAnsiTheme="minorHAnsi"/>
                <w:sz w:val="22"/>
                <w:szCs w:val="22"/>
                <w:lang w:val="fr-FR"/>
              </w:rPr>
            </w:pPr>
            <w:r w:rsidRPr="00174939">
              <w:rPr>
                <w:rFonts w:asciiTheme="minorHAnsi" w:hAnsiTheme="minorHAnsi"/>
                <w:sz w:val="22"/>
                <w:szCs w:val="22"/>
                <w:lang w:val="fr-FR"/>
              </w:rPr>
              <w:t xml:space="preserve">La Commission reçoit les </w:t>
            </w:r>
            <w:r w:rsidRPr="00174939">
              <w:rPr>
                <w:rFonts w:asciiTheme="minorHAnsi" w:hAnsiTheme="minorHAnsi"/>
                <w:sz w:val="22"/>
                <w:szCs w:val="22"/>
                <w:u w:val="single"/>
                <w:lang w:val="fr-FR"/>
              </w:rPr>
              <w:t>plaintes</w:t>
            </w:r>
            <w:r w:rsidRPr="00174939">
              <w:rPr>
                <w:rFonts w:asciiTheme="minorHAnsi" w:hAnsiTheme="minorHAnsi"/>
                <w:sz w:val="22"/>
                <w:szCs w:val="22"/>
                <w:lang w:val="fr-FR"/>
              </w:rPr>
              <w:t xml:space="preserve"> de toute personne intéressée à l'égard d'un service ayant improprement exécuté une autorisation de communication de données (art. 33)</w:t>
            </w:r>
            <w:r w:rsidR="004B44AE" w:rsidRPr="00174939">
              <w:rPr>
                <w:rFonts w:asciiTheme="minorHAnsi" w:hAnsiTheme="minorHAnsi"/>
                <w:sz w:val="22"/>
                <w:szCs w:val="22"/>
                <w:lang w:val="fr-FR"/>
              </w:rPr>
              <w:t>.</w:t>
            </w:r>
          </w:p>
          <w:p w:rsidR="007F59C9" w:rsidRDefault="007F59C9" w:rsidP="007F59C9">
            <w:pPr>
              <w:pStyle w:val="NormalWeb"/>
              <w:spacing w:before="0" w:beforeAutospacing="0" w:after="0"/>
              <w:contextualSpacing/>
              <w:jc w:val="both"/>
              <w:rPr>
                <w:rFonts w:asciiTheme="minorHAnsi" w:hAnsiTheme="minorHAnsi"/>
                <w:sz w:val="22"/>
                <w:szCs w:val="22"/>
                <w:lang w:val="fr-FR"/>
              </w:rPr>
            </w:pPr>
          </w:p>
          <w:p w:rsidR="00AE4070" w:rsidRDefault="00AE4070" w:rsidP="007F59C9">
            <w:pPr>
              <w:pStyle w:val="NormalWeb"/>
              <w:spacing w:before="0" w:beforeAutospacing="0" w:after="0"/>
              <w:contextualSpacing/>
              <w:jc w:val="both"/>
              <w:rPr>
                <w:rFonts w:asciiTheme="minorHAnsi" w:hAnsiTheme="minorHAnsi"/>
                <w:sz w:val="22"/>
                <w:szCs w:val="22"/>
                <w:lang w:val="fr-FR"/>
              </w:rPr>
            </w:pPr>
          </w:p>
          <w:p w:rsidR="00AE4070" w:rsidRDefault="00AE4070" w:rsidP="007F59C9">
            <w:pPr>
              <w:pStyle w:val="NormalWeb"/>
              <w:spacing w:before="0" w:beforeAutospacing="0" w:after="0"/>
              <w:contextualSpacing/>
              <w:jc w:val="both"/>
              <w:rPr>
                <w:rFonts w:asciiTheme="minorHAnsi" w:hAnsiTheme="minorHAnsi"/>
                <w:sz w:val="22"/>
                <w:szCs w:val="22"/>
                <w:lang w:val="fr-FR"/>
              </w:rPr>
            </w:pPr>
          </w:p>
          <w:p w:rsidR="00170B62" w:rsidRPr="006A5D3C" w:rsidRDefault="00170B62" w:rsidP="007F59C9">
            <w:pPr>
              <w:contextualSpacing/>
              <w:jc w:val="both"/>
              <w:rPr>
                <w:rFonts w:asciiTheme="minorHAnsi" w:hAnsiTheme="minorHAnsi"/>
                <w:sz w:val="22"/>
                <w:szCs w:val="22"/>
              </w:rPr>
            </w:pPr>
            <w:r w:rsidRPr="00174939">
              <w:rPr>
                <w:rFonts w:asciiTheme="minorHAnsi" w:hAnsiTheme="minorHAnsi"/>
                <w:sz w:val="22"/>
                <w:szCs w:val="22"/>
                <w:lang w:val="fr-FR"/>
              </w:rPr>
              <w:lastRenderedPageBreak/>
              <w:t xml:space="preserve">La </w:t>
            </w:r>
            <w:r w:rsidRPr="006A5D3C">
              <w:rPr>
                <w:rFonts w:asciiTheme="minorHAnsi" w:hAnsiTheme="minorHAnsi"/>
                <w:sz w:val="22"/>
                <w:szCs w:val="22"/>
              </w:rPr>
              <w:t>Commission peut solliciter de tout service public participant l'accès à des dossiers ou à des informa</w:t>
            </w:r>
            <w:r w:rsidR="004B44AE" w:rsidRPr="006A5D3C">
              <w:rPr>
                <w:rFonts w:asciiTheme="minorHAnsi" w:hAnsiTheme="minorHAnsi"/>
                <w:sz w:val="22"/>
                <w:szCs w:val="22"/>
              </w:rPr>
              <w:t>tions estimées utiles (art. 7).</w:t>
            </w:r>
          </w:p>
          <w:p w:rsidR="007F1533" w:rsidRPr="006A5D3C" w:rsidRDefault="007F1533" w:rsidP="007F59C9">
            <w:pPr>
              <w:contextualSpacing/>
              <w:jc w:val="both"/>
              <w:rPr>
                <w:rFonts w:asciiTheme="minorHAnsi" w:hAnsiTheme="minorHAnsi"/>
                <w:sz w:val="22"/>
                <w:szCs w:val="22"/>
              </w:rPr>
            </w:pPr>
          </w:p>
          <w:p w:rsidR="007F59C9" w:rsidRPr="006A5D3C" w:rsidRDefault="007F59C9" w:rsidP="007F59C9">
            <w:pPr>
              <w:contextualSpacing/>
              <w:jc w:val="both"/>
              <w:rPr>
                <w:rFonts w:asciiTheme="minorHAnsi" w:hAnsiTheme="minorHAnsi"/>
                <w:sz w:val="22"/>
                <w:szCs w:val="22"/>
              </w:rPr>
            </w:pPr>
          </w:p>
          <w:p w:rsidR="00170B62" w:rsidRPr="00174939" w:rsidRDefault="00170B62" w:rsidP="007F59C9">
            <w:pPr>
              <w:contextualSpacing/>
              <w:jc w:val="both"/>
              <w:rPr>
                <w:rFonts w:asciiTheme="minorHAnsi" w:hAnsiTheme="minorHAnsi"/>
                <w:sz w:val="22"/>
                <w:szCs w:val="22"/>
                <w:lang w:val="fr-FR"/>
              </w:rPr>
            </w:pPr>
            <w:r w:rsidRPr="006A5D3C">
              <w:rPr>
                <w:rFonts w:asciiTheme="minorHAnsi" w:hAnsiTheme="minorHAnsi"/>
                <w:sz w:val="22"/>
                <w:szCs w:val="22"/>
              </w:rPr>
              <w:t>La Commission</w:t>
            </w:r>
            <w:r w:rsidRPr="00174939">
              <w:rPr>
                <w:rFonts w:asciiTheme="minorHAnsi" w:hAnsiTheme="minorHAnsi"/>
                <w:sz w:val="22"/>
                <w:szCs w:val="22"/>
                <w:lang w:val="fr-FR"/>
              </w:rPr>
              <w:t xml:space="preserve"> de contrôle compte six membres effectifs et six membres suppléants, désignés par le Parlement pour un mandat renouvelable de cinq ans. Un tiers au moins des membres sont néerlandophones et le président appartient à un autre rôle linguistique que le vice-président.</w:t>
            </w:r>
          </w:p>
          <w:p w:rsidR="007F59C9" w:rsidRDefault="007F59C9" w:rsidP="007F59C9">
            <w:pPr>
              <w:ind w:right="141"/>
              <w:jc w:val="both"/>
              <w:rPr>
                <w:rFonts w:asciiTheme="minorHAnsi" w:hAnsiTheme="minorHAnsi"/>
                <w:sz w:val="22"/>
                <w:szCs w:val="22"/>
                <w:lang w:val="fr-FR"/>
              </w:rPr>
            </w:pPr>
          </w:p>
          <w:p w:rsidR="00034946" w:rsidRPr="00174939" w:rsidRDefault="00034946" w:rsidP="002B2395">
            <w:pPr>
              <w:pStyle w:val="NormalWeb"/>
              <w:numPr>
                <w:ilvl w:val="0"/>
                <w:numId w:val="10"/>
              </w:numPr>
              <w:spacing w:before="0" w:beforeAutospacing="0" w:after="0"/>
              <w:ind w:left="318" w:hanging="284"/>
              <w:contextualSpacing/>
              <w:jc w:val="both"/>
              <w:rPr>
                <w:rFonts w:asciiTheme="minorHAnsi" w:hAnsiTheme="minorHAnsi"/>
                <w:b/>
                <w:sz w:val="22"/>
                <w:szCs w:val="22"/>
                <w:lang w:val="fr-FR"/>
              </w:rPr>
            </w:pPr>
            <w:r w:rsidRPr="00174939">
              <w:rPr>
                <w:rFonts w:asciiTheme="minorHAnsi" w:hAnsiTheme="minorHAnsi"/>
                <w:b/>
                <w:bCs/>
                <w:sz w:val="22"/>
                <w:szCs w:val="22"/>
                <w:u w:val="single"/>
                <w:lang w:val="fr-FR"/>
              </w:rPr>
              <w:t>Profil requis</w:t>
            </w:r>
          </w:p>
          <w:p w:rsidR="002B2395" w:rsidRDefault="002B2395" w:rsidP="002B2395">
            <w:pPr>
              <w:jc w:val="both"/>
              <w:rPr>
                <w:rFonts w:asciiTheme="minorHAnsi" w:hAnsiTheme="minorHAnsi"/>
                <w:sz w:val="22"/>
                <w:szCs w:val="22"/>
                <w:lang w:val="fr-FR"/>
              </w:rPr>
            </w:pPr>
          </w:p>
          <w:p w:rsidR="002670B0" w:rsidRDefault="002670B0" w:rsidP="002B2395">
            <w:pPr>
              <w:jc w:val="both"/>
              <w:rPr>
                <w:rFonts w:asciiTheme="minorHAnsi" w:hAnsiTheme="minorHAnsi"/>
                <w:sz w:val="22"/>
                <w:szCs w:val="22"/>
                <w:lang w:val="fr-FR"/>
              </w:rPr>
            </w:pPr>
            <w:r w:rsidRPr="00174939">
              <w:rPr>
                <w:rFonts w:asciiTheme="minorHAnsi" w:hAnsiTheme="minorHAnsi"/>
                <w:sz w:val="22"/>
                <w:szCs w:val="22"/>
                <w:lang w:val="fr-FR"/>
              </w:rPr>
              <w:t xml:space="preserve">Le Parlement cherche </w:t>
            </w:r>
            <w:r w:rsidR="008C4AFC">
              <w:rPr>
                <w:rFonts w:asciiTheme="minorHAnsi" w:hAnsiTheme="minorHAnsi"/>
                <w:sz w:val="22"/>
                <w:szCs w:val="22"/>
                <w:lang w:val="fr-FR"/>
              </w:rPr>
              <w:t>2</w:t>
            </w:r>
            <w:r w:rsidRPr="00174939">
              <w:rPr>
                <w:rFonts w:asciiTheme="minorHAnsi" w:hAnsiTheme="minorHAnsi"/>
                <w:sz w:val="22"/>
                <w:szCs w:val="22"/>
                <w:lang w:val="fr-FR"/>
              </w:rPr>
              <w:t xml:space="preserve"> personnes présentant une qualification déterminée :</w:t>
            </w:r>
          </w:p>
          <w:p w:rsidR="002B2395" w:rsidRPr="00174939" w:rsidRDefault="002B2395" w:rsidP="002B2395">
            <w:pPr>
              <w:jc w:val="both"/>
              <w:rPr>
                <w:rFonts w:asciiTheme="minorHAnsi" w:hAnsiTheme="minorHAnsi"/>
                <w:sz w:val="22"/>
                <w:szCs w:val="22"/>
                <w:lang w:val="fr-FR"/>
              </w:rPr>
            </w:pPr>
          </w:p>
          <w:p w:rsidR="002670B0" w:rsidRPr="00174939" w:rsidRDefault="002670B0" w:rsidP="002B2395">
            <w:pPr>
              <w:pStyle w:val="NormalWeb"/>
              <w:numPr>
                <w:ilvl w:val="0"/>
                <w:numId w:val="19"/>
              </w:numPr>
              <w:spacing w:before="0" w:beforeAutospacing="0" w:after="0"/>
              <w:ind w:left="714" w:hanging="357"/>
              <w:contextualSpacing/>
              <w:jc w:val="both"/>
              <w:rPr>
                <w:rFonts w:asciiTheme="minorHAnsi" w:hAnsiTheme="minorHAnsi"/>
                <w:sz w:val="22"/>
                <w:szCs w:val="22"/>
                <w:lang w:val="fr-FR"/>
              </w:rPr>
            </w:pPr>
            <w:r w:rsidRPr="00174939">
              <w:rPr>
                <w:rFonts w:asciiTheme="minorHAnsi" w:hAnsiTheme="minorHAnsi"/>
                <w:sz w:val="22"/>
                <w:szCs w:val="22"/>
                <w:lang w:val="fr-FR"/>
              </w:rPr>
              <w:t>deux informaticiens (</w:t>
            </w:r>
            <w:r w:rsidR="008C4AFC">
              <w:rPr>
                <w:rFonts w:asciiTheme="minorHAnsi" w:hAnsiTheme="minorHAnsi"/>
                <w:sz w:val="22"/>
                <w:szCs w:val="22"/>
                <w:lang w:val="fr-FR"/>
              </w:rPr>
              <w:t>un effectif et un suppléant).</w:t>
            </w:r>
          </w:p>
          <w:p w:rsidR="00FE531D" w:rsidRPr="006A5D3C" w:rsidRDefault="00FE531D" w:rsidP="007F59C9">
            <w:pPr>
              <w:jc w:val="both"/>
              <w:rPr>
                <w:rFonts w:asciiTheme="minorHAnsi" w:hAnsiTheme="minorHAnsi"/>
                <w:sz w:val="22"/>
                <w:szCs w:val="22"/>
              </w:rPr>
            </w:pPr>
          </w:p>
          <w:p w:rsidR="002670B0" w:rsidRPr="006A5D3C" w:rsidRDefault="002670B0" w:rsidP="002B2395">
            <w:pPr>
              <w:contextualSpacing/>
              <w:jc w:val="both"/>
              <w:rPr>
                <w:rFonts w:asciiTheme="minorHAnsi" w:hAnsiTheme="minorHAnsi"/>
                <w:sz w:val="22"/>
                <w:szCs w:val="22"/>
              </w:rPr>
            </w:pPr>
            <w:r w:rsidRPr="006A5D3C">
              <w:rPr>
                <w:rFonts w:asciiTheme="minorHAnsi" w:hAnsiTheme="minorHAnsi"/>
                <w:sz w:val="22"/>
                <w:szCs w:val="22"/>
              </w:rPr>
              <w:t>Afin de garantir l'indépendance de la Commission, le candidat doit :</w:t>
            </w:r>
          </w:p>
          <w:p w:rsidR="00FB7BAC" w:rsidRDefault="00FB7BAC" w:rsidP="002B2395">
            <w:pPr>
              <w:contextualSpacing/>
              <w:jc w:val="both"/>
              <w:rPr>
                <w:rFonts w:asciiTheme="minorHAnsi" w:hAnsiTheme="minorHAnsi"/>
                <w:sz w:val="22"/>
                <w:szCs w:val="22"/>
              </w:rPr>
            </w:pPr>
          </w:p>
          <w:p w:rsidR="002B2395" w:rsidRPr="006A5D3C" w:rsidRDefault="002B2395" w:rsidP="002B2395">
            <w:pPr>
              <w:contextualSpacing/>
              <w:jc w:val="both"/>
              <w:rPr>
                <w:rFonts w:asciiTheme="minorHAnsi" w:hAnsiTheme="minorHAnsi"/>
                <w:sz w:val="22"/>
                <w:szCs w:val="22"/>
              </w:rPr>
            </w:pPr>
          </w:p>
          <w:p w:rsidR="002670B0" w:rsidRPr="00174939" w:rsidRDefault="002670B0" w:rsidP="002B2395">
            <w:pPr>
              <w:pStyle w:val="NormalWeb"/>
              <w:spacing w:before="0" w:beforeAutospacing="0" w:after="0"/>
              <w:contextualSpacing/>
              <w:jc w:val="both"/>
              <w:rPr>
                <w:rFonts w:asciiTheme="minorHAnsi" w:hAnsiTheme="minorHAnsi"/>
                <w:sz w:val="22"/>
                <w:szCs w:val="22"/>
                <w:lang w:val="fr-FR"/>
              </w:rPr>
            </w:pPr>
            <w:r w:rsidRPr="00174939">
              <w:rPr>
                <w:rFonts w:asciiTheme="minorHAnsi" w:hAnsiTheme="minorHAnsi"/>
                <w:sz w:val="22"/>
                <w:szCs w:val="22"/>
                <w:lang w:val="fr-FR"/>
              </w:rPr>
              <w:t>  1° jouir des droits civils et politiques;</w:t>
            </w:r>
          </w:p>
          <w:p w:rsidR="00FB7BAC" w:rsidRPr="00174939" w:rsidRDefault="00FB7BAC" w:rsidP="002B2395">
            <w:pPr>
              <w:pStyle w:val="NormalWeb"/>
              <w:spacing w:before="0" w:beforeAutospacing="0" w:after="0"/>
              <w:contextualSpacing/>
              <w:jc w:val="both"/>
              <w:rPr>
                <w:rFonts w:asciiTheme="minorHAnsi" w:hAnsiTheme="minorHAnsi"/>
                <w:sz w:val="22"/>
                <w:szCs w:val="22"/>
                <w:lang w:val="fr-FR"/>
              </w:rPr>
            </w:pPr>
          </w:p>
          <w:p w:rsidR="002670B0" w:rsidRPr="00174939" w:rsidRDefault="002670B0" w:rsidP="002B2395">
            <w:pPr>
              <w:contextualSpacing/>
              <w:jc w:val="both"/>
              <w:rPr>
                <w:rFonts w:asciiTheme="minorHAnsi" w:hAnsiTheme="minorHAnsi"/>
                <w:sz w:val="22"/>
                <w:szCs w:val="22"/>
                <w:lang w:val="fr-FR"/>
              </w:rPr>
            </w:pPr>
            <w:r w:rsidRPr="00174939">
              <w:rPr>
                <w:rFonts w:asciiTheme="minorHAnsi" w:hAnsiTheme="minorHAnsi"/>
                <w:sz w:val="22"/>
                <w:szCs w:val="22"/>
                <w:lang w:val="fr-FR"/>
              </w:rPr>
              <w:t>  2° ne pas être membre du Parlement européen, du Sénat, de la Chambre des représentants, du Parlement de la Région de Bruxelles-Capitale ou d'un autre Parlement communautaire ou régional;</w:t>
            </w:r>
          </w:p>
          <w:p w:rsidR="00FB7BAC" w:rsidRPr="00174939" w:rsidRDefault="00FB7BAC" w:rsidP="00FB7BAC">
            <w:pPr>
              <w:pStyle w:val="NormalWeb"/>
              <w:spacing w:before="0" w:beforeAutospacing="0" w:after="0"/>
              <w:contextualSpacing/>
              <w:jc w:val="both"/>
              <w:rPr>
                <w:rFonts w:asciiTheme="minorHAnsi" w:hAnsiTheme="minorHAnsi"/>
                <w:sz w:val="22"/>
                <w:szCs w:val="22"/>
                <w:lang w:val="fr-FR"/>
              </w:rPr>
            </w:pPr>
          </w:p>
          <w:p w:rsidR="002670B0" w:rsidRPr="00174939" w:rsidRDefault="002670B0" w:rsidP="002B2395">
            <w:pPr>
              <w:jc w:val="both"/>
              <w:rPr>
                <w:rFonts w:asciiTheme="minorHAnsi" w:hAnsiTheme="minorHAnsi"/>
                <w:sz w:val="22"/>
                <w:szCs w:val="22"/>
                <w:lang w:val="fr-FR"/>
              </w:rPr>
            </w:pPr>
            <w:r w:rsidRPr="00174939">
              <w:rPr>
                <w:rFonts w:asciiTheme="minorHAnsi" w:hAnsiTheme="minorHAnsi"/>
                <w:sz w:val="22"/>
                <w:szCs w:val="22"/>
                <w:lang w:val="fr-FR"/>
              </w:rPr>
              <w:t xml:space="preserve">  3° ne pas ressortir à l'autorité hiérarchique du Parlement </w:t>
            </w:r>
            <w:r w:rsidRPr="001F2533">
              <w:rPr>
                <w:rFonts w:asciiTheme="minorHAnsi" w:hAnsiTheme="minorHAnsi"/>
                <w:sz w:val="22"/>
                <w:szCs w:val="22"/>
              </w:rPr>
              <w:t>de</w:t>
            </w:r>
            <w:r w:rsidRPr="00174939">
              <w:rPr>
                <w:rFonts w:asciiTheme="minorHAnsi" w:hAnsiTheme="minorHAnsi"/>
                <w:sz w:val="22"/>
                <w:szCs w:val="22"/>
                <w:lang w:val="fr-FR"/>
              </w:rPr>
              <w:t xml:space="preserve"> la Région de Bruxelles-Capitale ou du Gouvernement de la Région de Bruxelles-Capitale;</w:t>
            </w:r>
          </w:p>
          <w:p w:rsidR="007F59C9" w:rsidRDefault="007F59C9" w:rsidP="00FB7BAC">
            <w:pPr>
              <w:pStyle w:val="NormalWeb"/>
              <w:spacing w:before="0" w:beforeAutospacing="0" w:after="0"/>
              <w:contextualSpacing/>
              <w:jc w:val="both"/>
              <w:rPr>
                <w:rFonts w:asciiTheme="minorHAnsi" w:hAnsiTheme="minorHAnsi"/>
                <w:sz w:val="22"/>
                <w:szCs w:val="22"/>
                <w:lang w:val="fr-FR"/>
              </w:rPr>
            </w:pPr>
          </w:p>
          <w:p w:rsidR="002670B0" w:rsidRPr="00174939" w:rsidRDefault="002670B0" w:rsidP="002B2395">
            <w:pPr>
              <w:contextualSpacing/>
              <w:jc w:val="both"/>
              <w:rPr>
                <w:rFonts w:asciiTheme="minorHAnsi" w:hAnsiTheme="minorHAnsi"/>
                <w:sz w:val="22"/>
                <w:szCs w:val="22"/>
                <w:lang w:val="fr-FR"/>
              </w:rPr>
            </w:pPr>
            <w:r w:rsidRPr="00174939">
              <w:rPr>
                <w:rFonts w:asciiTheme="minorHAnsi" w:hAnsiTheme="minorHAnsi"/>
                <w:sz w:val="22"/>
                <w:szCs w:val="22"/>
                <w:lang w:val="fr-FR"/>
              </w:rPr>
              <w:t xml:space="preserve">  4° garantir </w:t>
            </w:r>
            <w:r w:rsidRPr="001F2533">
              <w:rPr>
                <w:rFonts w:asciiTheme="minorHAnsi" w:hAnsiTheme="minorHAnsi"/>
                <w:sz w:val="22"/>
                <w:szCs w:val="22"/>
              </w:rPr>
              <w:t>l'exercice</w:t>
            </w:r>
            <w:r w:rsidRPr="00174939">
              <w:rPr>
                <w:rFonts w:asciiTheme="minorHAnsi" w:hAnsiTheme="minorHAnsi"/>
                <w:sz w:val="22"/>
                <w:szCs w:val="22"/>
                <w:lang w:val="fr-FR"/>
              </w:rPr>
              <w:t xml:space="preserve"> indépendant de sa mission;</w:t>
            </w:r>
          </w:p>
          <w:p w:rsidR="00FB7BAC" w:rsidRDefault="00FB7BAC" w:rsidP="00FB7BAC">
            <w:pPr>
              <w:pStyle w:val="NormalWeb"/>
              <w:spacing w:before="0" w:beforeAutospacing="0" w:after="0"/>
              <w:contextualSpacing/>
              <w:jc w:val="both"/>
              <w:rPr>
                <w:rFonts w:asciiTheme="minorHAnsi" w:hAnsiTheme="minorHAnsi"/>
                <w:sz w:val="22"/>
                <w:szCs w:val="22"/>
                <w:lang w:val="fr-FR"/>
              </w:rPr>
            </w:pPr>
          </w:p>
          <w:p w:rsidR="002B2395" w:rsidRPr="00174939" w:rsidRDefault="002B2395" w:rsidP="00FB7BAC">
            <w:pPr>
              <w:pStyle w:val="NormalWeb"/>
              <w:spacing w:before="0" w:beforeAutospacing="0" w:after="0"/>
              <w:contextualSpacing/>
              <w:jc w:val="both"/>
              <w:rPr>
                <w:rFonts w:asciiTheme="minorHAnsi" w:hAnsiTheme="minorHAnsi"/>
                <w:sz w:val="22"/>
                <w:szCs w:val="22"/>
                <w:lang w:val="fr-FR"/>
              </w:rPr>
            </w:pPr>
          </w:p>
          <w:p w:rsidR="002670B0" w:rsidRPr="00174939" w:rsidRDefault="002670B0" w:rsidP="002B2395">
            <w:pPr>
              <w:jc w:val="both"/>
              <w:rPr>
                <w:rFonts w:asciiTheme="minorHAnsi" w:hAnsiTheme="minorHAnsi"/>
                <w:sz w:val="22"/>
                <w:szCs w:val="22"/>
                <w:lang w:val="fr-FR"/>
              </w:rPr>
            </w:pPr>
            <w:r w:rsidRPr="00174939">
              <w:rPr>
                <w:rFonts w:asciiTheme="minorHAnsi" w:hAnsiTheme="minorHAnsi"/>
                <w:sz w:val="22"/>
                <w:szCs w:val="22"/>
                <w:lang w:val="fr-FR"/>
              </w:rPr>
              <w:t xml:space="preserve">  5° ne </w:t>
            </w:r>
            <w:r w:rsidRPr="00B85C71">
              <w:rPr>
                <w:rFonts w:asciiTheme="minorHAnsi" w:hAnsiTheme="minorHAnsi"/>
                <w:sz w:val="22"/>
                <w:szCs w:val="22"/>
              </w:rPr>
              <w:t>pas</w:t>
            </w:r>
            <w:r w:rsidRPr="00174939">
              <w:rPr>
                <w:rFonts w:asciiTheme="minorHAnsi" w:hAnsiTheme="minorHAnsi"/>
                <w:sz w:val="22"/>
                <w:szCs w:val="22"/>
                <w:lang w:val="fr-FR"/>
              </w:rPr>
              <w:t xml:space="preserve"> être membre d'un intégrateur de services.</w:t>
            </w:r>
          </w:p>
          <w:p w:rsidR="006728DF" w:rsidRDefault="006728DF" w:rsidP="006728DF">
            <w:pPr>
              <w:pStyle w:val="NormalWeb"/>
              <w:spacing w:before="0" w:beforeAutospacing="0" w:after="0"/>
              <w:contextualSpacing/>
              <w:jc w:val="both"/>
              <w:rPr>
                <w:rFonts w:asciiTheme="minorHAnsi" w:hAnsiTheme="minorHAnsi"/>
                <w:sz w:val="22"/>
                <w:szCs w:val="22"/>
                <w:lang w:val="fr-FR"/>
              </w:rPr>
            </w:pPr>
          </w:p>
          <w:p w:rsidR="002670B0" w:rsidRPr="00174939" w:rsidRDefault="002670B0" w:rsidP="00EB4A14">
            <w:pPr>
              <w:jc w:val="both"/>
              <w:rPr>
                <w:rFonts w:asciiTheme="minorHAnsi" w:hAnsiTheme="minorHAnsi"/>
                <w:sz w:val="22"/>
                <w:szCs w:val="22"/>
                <w:lang w:val="fr-FR"/>
              </w:rPr>
            </w:pPr>
            <w:r w:rsidRPr="00174939">
              <w:rPr>
                <w:rFonts w:asciiTheme="minorHAnsi" w:hAnsiTheme="minorHAnsi"/>
                <w:sz w:val="22"/>
                <w:szCs w:val="22"/>
                <w:lang w:val="fr-FR"/>
              </w:rPr>
              <w:t xml:space="preserve">Les membres de la Commission perçoivent un jeton de présence de 223,18 </w:t>
            </w:r>
            <w:r w:rsidRPr="00174939">
              <w:rPr>
                <w:rFonts w:asciiTheme="minorHAnsi" w:hAnsiTheme="minorHAnsi"/>
                <w:sz w:val="22"/>
                <w:szCs w:val="22"/>
              </w:rPr>
              <w:t>euros</w:t>
            </w:r>
            <w:r w:rsidRPr="00174939">
              <w:rPr>
                <w:rFonts w:asciiTheme="minorHAnsi" w:hAnsiTheme="minorHAnsi"/>
                <w:sz w:val="22"/>
                <w:szCs w:val="22"/>
                <w:lang w:val="fr-FR"/>
              </w:rPr>
              <w:t>, indexé à l'indice des prix à la consommation.</w:t>
            </w:r>
          </w:p>
          <w:p w:rsidR="00EB4A14" w:rsidRDefault="00EB4A14" w:rsidP="00EB4A14">
            <w:pPr>
              <w:jc w:val="both"/>
              <w:rPr>
                <w:rFonts w:asciiTheme="minorHAnsi" w:hAnsiTheme="minorHAnsi"/>
                <w:sz w:val="22"/>
                <w:szCs w:val="22"/>
              </w:rPr>
            </w:pPr>
          </w:p>
          <w:p w:rsidR="002670B0" w:rsidRPr="00174939" w:rsidRDefault="002670B0" w:rsidP="00EB4A14">
            <w:pPr>
              <w:jc w:val="both"/>
              <w:rPr>
                <w:rFonts w:asciiTheme="minorHAnsi" w:hAnsiTheme="minorHAnsi"/>
                <w:sz w:val="22"/>
                <w:szCs w:val="22"/>
                <w:lang w:val="fr-FR"/>
              </w:rPr>
            </w:pPr>
            <w:r w:rsidRPr="00174939">
              <w:rPr>
                <w:rFonts w:asciiTheme="minorHAnsi" w:hAnsiTheme="minorHAnsi"/>
                <w:sz w:val="22"/>
                <w:szCs w:val="22"/>
              </w:rPr>
              <w:t>Les</w:t>
            </w:r>
            <w:r w:rsidRPr="00174939">
              <w:rPr>
                <w:rFonts w:asciiTheme="minorHAnsi" w:hAnsiTheme="minorHAnsi"/>
                <w:sz w:val="22"/>
                <w:szCs w:val="22"/>
                <w:lang w:val="fr-FR"/>
              </w:rPr>
              <w:t xml:space="preserve"> candidats sont invités à adresser leur curriculum vitae ainsi qu'une note exposant leurs motivations au Parlement, par un courrier recommandé à l'adresse suivante :</w:t>
            </w:r>
          </w:p>
          <w:p w:rsidR="002548B5" w:rsidRPr="00174939" w:rsidRDefault="002548B5" w:rsidP="00AC744B">
            <w:pPr>
              <w:ind w:left="33"/>
              <w:jc w:val="both"/>
              <w:rPr>
                <w:rFonts w:asciiTheme="minorHAnsi" w:eastAsia="Times New Roman" w:hAnsiTheme="minorHAnsi"/>
                <w:sz w:val="22"/>
                <w:szCs w:val="22"/>
                <w:lang w:eastAsia="fr-FR"/>
              </w:rPr>
            </w:pPr>
          </w:p>
          <w:p w:rsidR="000600AA" w:rsidRPr="00174939" w:rsidRDefault="000600AA" w:rsidP="00AC744B">
            <w:pPr>
              <w:ind w:left="33"/>
              <w:jc w:val="both"/>
              <w:rPr>
                <w:rFonts w:asciiTheme="minorHAnsi" w:eastAsia="Times New Roman" w:hAnsiTheme="minorHAnsi"/>
                <w:sz w:val="22"/>
                <w:szCs w:val="22"/>
                <w:lang w:eastAsia="fr-FR"/>
              </w:rPr>
            </w:pPr>
            <w:r w:rsidRPr="00174939">
              <w:rPr>
                <w:rFonts w:asciiTheme="minorHAnsi" w:eastAsia="Times New Roman" w:hAnsiTheme="minorHAnsi"/>
                <w:sz w:val="22"/>
                <w:szCs w:val="22"/>
                <w:lang w:eastAsia="fr-FR"/>
              </w:rPr>
              <w:t>Parlement de la Région de Bruxelles-Capitale</w:t>
            </w:r>
          </w:p>
          <w:p w:rsidR="000600AA" w:rsidRPr="00174939" w:rsidRDefault="0030248F" w:rsidP="00801D89">
            <w:pPr>
              <w:ind w:left="33"/>
              <w:jc w:val="both"/>
              <w:rPr>
                <w:rFonts w:asciiTheme="minorHAnsi" w:eastAsia="Times New Roman" w:hAnsiTheme="minorHAnsi"/>
                <w:sz w:val="22"/>
                <w:szCs w:val="22"/>
                <w:lang w:eastAsia="fr-FR"/>
              </w:rPr>
            </w:pPr>
            <w:r w:rsidRPr="00174939">
              <w:rPr>
                <w:rFonts w:asciiTheme="minorHAnsi" w:eastAsia="Times New Roman" w:hAnsiTheme="minorHAnsi"/>
                <w:sz w:val="22"/>
                <w:szCs w:val="22"/>
                <w:lang w:eastAsia="fr-FR"/>
              </w:rPr>
              <w:t xml:space="preserve">A l’attention du </w:t>
            </w:r>
            <w:r w:rsidRPr="001F2533">
              <w:rPr>
                <w:rFonts w:asciiTheme="minorHAnsi" w:eastAsia="Times New Roman" w:hAnsiTheme="minorHAnsi"/>
                <w:sz w:val="22"/>
                <w:szCs w:val="22"/>
                <w:lang w:eastAsia="fr-FR"/>
              </w:rPr>
              <w:t>Secrétaire</w:t>
            </w:r>
            <w:r w:rsidRPr="00174939">
              <w:rPr>
                <w:rFonts w:asciiTheme="minorHAnsi" w:eastAsia="Times New Roman" w:hAnsiTheme="minorHAnsi"/>
                <w:sz w:val="22"/>
                <w:szCs w:val="22"/>
                <w:lang w:eastAsia="fr-FR"/>
              </w:rPr>
              <w:t xml:space="preserve"> général</w:t>
            </w:r>
          </w:p>
          <w:p w:rsidR="000600AA" w:rsidRPr="00174939" w:rsidRDefault="000600AA" w:rsidP="00AC744B">
            <w:pPr>
              <w:ind w:left="33"/>
              <w:jc w:val="both"/>
              <w:rPr>
                <w:rFonts w:asciiTheme="minorHAnsi" w:eastAsia="Times New Roman" w:hAnsiTheme="minorHAnsi"/>
                <w:sz w:val="22"/>
                <w:szCs w:val="22"/>
                <w:lang w:eastAsia="fr-FR"/>
              </w:rPr>
            </w:pPr>
            <w:r w:rsidRPr="00174939">
              <w:rPr>
                <w:rFonts w:asciiTheme="minorHAnsi" w:eastAsia="Times New Roman" w:hAnsiTheme="minorHAnsi"/>
                <w:sz w:val="22"/>
                <w:szCs w:val="22"/>
                <w:lang w:eastAsia="fr-FR"/>
              </w:rPr>
              <w:t>1005 Bruxelles</w:t>
            </w:r>
          </w:p>
          <w:p w:rsidR="00046786" w:rsidRPr="00174939" w:rsidRDefault="00046786" w:rsidP="00AC744B">
            <w:pPr>
              <w:pStyle w:val="Contenudetableau"/>
              <w:ind w:left="33" w:right="113"/>
              <w:jc w:val="both"/>
              <w:rPr>
                <w:rFonts w:asciiTheme="minorHAnsi" w:hAnsiTheme="minorHAnsi"/>
                <w:sz w:val="22"/>
                <w:szCs w:val="22"/>
              </w:rPr>
            </w:pPr>
          </w:p>
          <w:p w:rsidR="00046786" w:rsidRPr="00174939" w:rsidRDefault="00046786" w:rsidP="00AC744B">
            <w:pPr>
              <w:pStyle w:val="Contenudetableau"/>
              <w:ind w:left="33" w:right="113"/>
              <w:jc w:val="both"/>
              <w:rPr>
                <w:rFonts w:asciiTheme="minorHAnsi" w:hAnsiTheme="minorHAnsi"/>
                <w:sz w:val="22"/>
                <w:szCs w:val="22"/>
              </w:rPr>
            </w:pPr>
            <w:r w:rsidRPr="00174939">
              <w:rPr>
                <w:rFonts w:asciiTheme="minorHAnsi" w:hAnsiTheme="minorHAnsi"/>
                <w:sz w:val="22"/>
                <w:szCs w:val="22"/>
              </w:rPr>
              <w:t xml:space="preserve">ou </w:t>
            </w:r>
            <w:r w:rsidR="00D049DA">
              <w:rPr>
                <w:rFonts w:asciiTheme="minorHAnsi" w:hAnsiTheme="minorHAnsi"/>
                <w:sz w:val="22"/>
                <w:szCs w:val="22"/>
              </w:rPr>
              <w:t xml:space="preserve">à </w:t>
            </w:r>
            <w:r w:rsidR="001140BB">
              <w:rPr>
                <w:rFonts w:asciiTheme="minorHAnsi" w:hAnsiTheme="minorHAnsi"/>
                <w:sz w:val="22"/>
                <w:szCs w:val="22"/>
              </w:rPr>
              <w:t xml:space="preserve">les </w:t>
            </w:r>
            <w:bookmarkStart w:id="0" w:name="_GoBack"/>
            <w:bookmarkEnd w:id="0"/>
            <w:r w:rsidR="00D049DA">
              <w:rPr>
                <w:rFonts w:asciiTheme="minorHAnsi" w:hAnsiTheme="minorHAnsi"/>
                <w:sz w:val="22"/>
                <w:szCs w:val="22"/>
              </w:rPr>
              <w:t>déposer</w:t>
            </w:r>
            <w:r w:rsidRPr="00174939">
              <w:rPr>
                <w:rFonts w:asciiTheme="minorHAnsi" w:hAnsiTheme="minorHAnsi"/>
                <w:sz w:val="22"/>
                <w:szCs w:val="22"/>
              </w:rPr>
              <w:t xml:space="preserve"> pendant les heures de bureau au greffe du Parlement de la Région de Bruxelles-Capitale (rue du Chêne 22, 1000 Bruxelles) contre accusé de réception.</w:t>
            </w:r>
          </w:p>
          <w:p w:rsidR="000600AA" w:rsidRPr="00174939" w:rsidRDefault="000600AA" w:rsidP="00AC744B">
            <w:pPr>
              <w:ind w:left="33"/>
              <w:jc w:val="both"/>
              <w:rPr>
                <w:rFonts w:asciiTheme="minorHAnsi" w:eastAsia="Times New Roman" w:hAnsiTheme="minorHAnsi"/>
                <w:sz w:val="22"/>
                <w:szCs w:val="22"/>
                <w:lang w:eastAsia="fr-FR"/>
              </w:rPr>
            </w:pPr>
          </w:p>
          <w:p w:rsidR="00FA1C7C" w:rsidRPr="00D224D2" w:rsidRDefault="00FA1C7C" w:rsidP="007E0AC1">
            <w:pPr>
              <w:ind w:right="142"/>
              <w:jc w:val="both"/>
              <w:rPr>
                <w:rFonts w:asciiTheme="minorHAnsi" w:eastAsia="Times New Roman" w:hAnsiTheme="minorHAnsi"/>
                <w:sz w:val="22"/>
                <w:szCs w:val="22"/>
                <w:lang w:eastAsia="fr-FR"/>
              </w:rPr>
            </w:pPr>
            <w:r w:rsidRPr="00174939">
              <w:rPr>
                <w:rFonts w:asciiTheme="minorHAnsi" w:eastAsia="Times New Roman" w:hAnsiTheme="minorHAnsi"/>
                <w:sz w:val="22"/>
                <w:szCs w:val="22"/>
                <w:lang w:eastAsia="fr-FR"/>
              </w:rPr>
              <w:t xml:space="preserve">Les candidatures </w:t>
            </w:r>
            <w:r w:rsidRPr="001F2533">
              <w:rPr>
                <w:rFonts w:asciiTheme="minorHAnsi" w:eastAsia="Times New Roman" w:hAnsiTheme="minorHAnsi"/>
                <w:sz w:val="22"/>
                <w:szCs w:val="22"/>
                <w:lang w:eastAsia="fr-FR"/>
              </w:rPr>
              <w:t>doivent</w:t>
            </w:r>
            <w:r w:rsidRPr="00174939">
              <w:rPr>
                <w:rFonts w:asciiTheme="minorHAnsi" w:eastAsia="Times New Roman" w:hAnsiTheme="minorHAnsi"/>
                <w:sz w:val="22"/>
                <w:szCs w:val="22"/>
                <w:lang w:eastAsia="fr-FR"/>
              </w:rPr>
              <w:t xml:space="preserve"> être</w:t>
            </w:r>
            <w:r w:rsidR="006727DB" w:rsidRPr="00174939">
              <w:rPr>
                <w:rFonts w:asciiTheme="minorHAnsi" w:eastAsia="Times New Roman" w:hAnsiTheme="minorHAnsi"/>
                <w:sz w:val="22"/>
                <w:szCs w:val="22"/>
                <w:lang w:eastAsia="fr-FR"/>
              </w:rPr>
              <w:t xml:space="preserve"> introduites au plus tard le </w:t>
            </w:r>
            <w:r w:rsidR="003661F3">
              <w:rPr>
                <w:rFonts w:asciiTheme="minorHAnsi" w:eastAsia="Times New Roman" w:hAnsiTheme="minorHAnsi"/>
                <w:sz w:val="22"/>
                <w:szCs w:val="22"/>
                <w:lang w:eastAsia="fr-FR"/>
              </w:rPr>
              <w:t>lundi 22</w:t>
            </w:r>
            <w:r w:rsidR="00174852" w:rsidRPr="00D224D2">
              <w:rPr>
                <w:rFonts w:asciiTheme="minorHAnsi" w:eastAsia="Times New Roman" w:hAnsiTheme="minorHAnsi"/>
                <w:sz w:val="22"/>
                <w:szCs w:val="22"/>
                <w:lang w:eastAsia="fr-FR"/>
              </w:rPr>
              <w:t xml:space="preserve"> </w:t>
            </w:r>
            <w:r w:rsidR="003661F3">
              <w:rPr>
                <w:rFonts w:asciiTheme="minorHAnsi" w:eastAsia="Times New Roman" w:hAnsiTheme="minorHAnsi"/>
                <w:sz w:val="22"/>
                <w:szCs w:val="22"/>
                <w:lang w:eastAsia="fr-FR"/>
              </w:rPr>
              <w:t>février</w:t>
            </w:r>
            <w:r w:rsidR="006727DB" w:rsidRPr="00D224D2">
              <w:rPr>
                <w:rFonts w:asciiTheme="minorHAnsi" w:eastAsia="Times New Roman" w:hAnsiTheme="minorHAnsi"/>
                <w:sz w:val="22"/>
                <w:szCs w:val="22"/>
                <w:lang w:eastAsia="fr-FR"/>
              </w:rPr>
              <w:t xml:space="preserve"> 202</w:t>
            </w:r>
            <w:r w:rsidR="003661F3">
              <w:rPr>
                <w:rFonts w:asciiTheme="minorHAnsi" w:eastAsia="Times New Roman" w:hAnsiTheme="minorHAnsi"/>
                <w:sz w:val="22"/>
                <w:szCs w:val="22"/>
                <w:lang w:eastAsia="fr-FR"/>
              </w:rPr>
              <w:t>1</w:t>
            </w:r>
            <w:r w:rsidR="006727DB" w:rsidRPr="00D224D2">
              <w:rPr>
                <w:rFonts w:asciiTheme="minorHAnsi" w:eastAsia="Times New Roman" w:hAnsiTheme="minorHAnsi"/>
                <w:sz w:val="22"/>
                <w:szCs w:val="22"/>
                <w:lang w:eastAsia="fr-FR"/>
              </w:rPr>
              <w:t>, à 12 heures.</w:t>
            </w:r>
          </w:p>
          <w:p w:rsidR="00405427" w:rsidRPr="00B10D99" w:rsidRDefault="00405427" w:rsidP="0086444F">
            <w:pPr>
              <w:tabs>
                <w:tab w:val="left" w:pos="-2879"/>
                <w:tab w:val="left" w:pos="-2159"/>
                <w:tab w:val="left" w:pos="-1439"/>
                <w:tab w:val="left" w:pos="1"/>
              </w:tabs>
              <w:jc w:val="both"/>
              <w:rPr>
                <w:rFonts w:asciiTheme="minorHAnsi" w:hAnsiTheme="minorHAnsi"/>
              </w:rPr>
            </w:pPr>
          </w:p>
        </w:tc>
      </w:tr>
    </w:tbl>
    <w:p w:rsidR="00405427" w:rsidRPr="00FA1C7C" w:rsidRDefault="00405427"/>
    <w:p w:rsidR="00E16E9E" w:rsidRPr="00FA1C7C" w:rsidRDefault="00E16E9E">
      <w:pPr>
        <w:tabs>
          <w:tab w:val="left" w:pos="-2879"/>
          <w:tab w:val="left" w:pos="-2159"/>
          <w:tab w:val="left" w:pos="-1439"/>
          <w:tab w:val="left" w:pos="1"/>
        </w:tabs>
        <w:jc w:val="both"/>
        <w:rPr>
          <w:rFonts w:ascii="Garamond" w:eastAsia="Times New Roman" w:hAnsi="Garamond"/>
          <w:spacing w:val="-3"/>
          <w:sz w:val="26"/>
          <w:lang w:eastAsia="ar-SA"/>
        </w:rPr>
      </w:pPr>
    </w:p>
    <w:sectPr w:rsidR="00E16E9E" w:rsidRPr="00FA1C7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FF6" w:rsidRDefault="00A96FF6" w:rsidP="006340D1">
      <w:r>
        <w:separator/>
      </w:r>
    </w:p>
  </w:endnote>
  <w:endnote w:type="continuationSeparator" w:id="0">
    <w:p w:rsidR="00A96FF6" w:rsidRDefault="00A96FF6" w:rsidP="0063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FF6" w:rsidRDefault="00A96FF6" w:rsidP="006340D1">
      <w:r>
        <w:separator/>
      </w:r>
    </w:p>
  </w:footnote>
  <w:footnote w:type="continuationSeparator" w:id="0">
    <w:p w:rsidR="00A96FF6" w:rsidRDefault="00A96FF6" w:rsidP="00634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731594B"/>
    <w:multiLevelType w:val="hybridMultilevel"/>
    <w:tmpl w:val="4DDED3B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1445A71"/>
    <w:multiLevelType w:val="hybridMultilevel"/>
    <w:tmpl w:val="B8CA94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AE1A08"/>
    <w:multiLevelType w:val="hybridMultilevel"/>
    <w:tmpl w:val="917E1D0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F015FC"/>
    <w:multiLevelType w:val="hybridMultilevel"/>
    <w:tmpl w:val="61183C84"/>
    <w:lvl w:ilvl="0" w:tplc="C75CC600">
      <w:start w:val="1"/>
      <w:numFmt w:val="decimal"/>
      <w:lvlText w:val="%1."/>
      <w:lvlJc w:val="left"/>
      <w:pPr>
        <w:ind w:left="816" w:hanging="360"/>
      </w:pPr>
      <w:rPr>
        <w:rFonts w:eastAsiaTheme="minorHAnsi" w:hint="default"/>
        <w:b/>
      </w:rPr>
    </w:lvl>
    <w:lvl w:ilvl="1" w:tplc="080C0019" w:tentative="1">
      <w:start w:val="1"/>
      <w:numFmt w:val="lowerLetter"/>
      <w:lvlText w:val="%2."/>
      <w:lvlJc w:val="left"/>
      <w:pPr>
        <w:ind w:left="1536" w:hanging="360"/>
      </w:pPr>
    </w:lvl>
    <w:lvl w:ilvl="2" w:tplc="080C001B" w:tentative="1">
      <w:start w:val="1"/>
      <w:numFmt w:val="lowerRoman"/>
      <w:lvlText w:val="%3."/>
      <w:lvlJc w:val="right"/>
      <w:pPr>
        <w:ind w:left="2256" w:hanging="180"/>
      </w:pPr>
    </w:lvl>
    <w:lvl w:ilvl="3" w:tplc="080C000F" w:tentative="1">
      <w:start w:val="1"/>
      <w:numFmt w:val="decimal"/>
      <w:lvlText w:val="%4."/>
      <w:lvlJc w:val="left"/>
      <w:pPr>
        <w:ind w:left="2976" w:hanging="360"/>
      </w:pPr>
    </w:lvl>
    <w:lvl w:ilvl="4" w:tplc="080C0019" w:tentative="1">
      <w:start w:val="1"/>
      <w:numFmt w:val="lowerLetter"/>
      <w:lvlText w:val="%5."/>
      <w:lvlJc w:val="left"/>
      <w:pPr>
        <w:ind w:left="3696" w:hanging="360"/>
      </w:pPr>
    </w:lvl>
    <w:lvl w:ilvl="5" w:tplc="080C001B" w:tentative="1">
      <w:start w:val="1"/>
      <w:numFmt w:val="lowerRoman"/>
      <w:lvlText w:val="%6."/>
      <w:lvlJc w:val="right"/>
      <w:pPr>
        <w:ind w:left="4416" w:hanging="180"/>
      </w:pPr>
    </w:lvl>
    <w:lvl w:ilvl="6" w:tplc="080C000F" w:tentative="1">
      <w:start w:val="1"/>
      <w:numFmt w:val="decimal"/>
      <w:lvlText w:val="%7."/>
      <w:lvlJc w:val="left"/>
      <w:pPr>
        <w:ind w:left="5136" w:hanging="360"/>
      </w:pPr>
    </w:lvl>
    <w:lvl w:ilvl="7" w:tplc="080C0019" w:tentative="1">
      <w:start w:val="1"/>
      <w:numFmt w:val="lowerLetter"/>
      <w:lvlText w:val="%8."/>
      <w:lvlJc w:val="left"/>
      <w:pPr>
        <w:ind w:left="5856" w:hanging="360"/>
      </w:pPr>
    </w:lvl>
    <w:lvl w:ilvl="8" w:tplc="080C001B" w:tentative="1">
      <w:start w:val="1"/>
      <w:numFmt w:val="lowerRoman"/>
      <w:lvlText w:val="%9."/>
      <w:lvlJc w:val="right"/>
      <w:pPr>
        <w:ind w:left="6576" w:hanging="180"/>
      </w:pPr>
    </w:lvl>
  </w:abstractNum>
  <w:abstractNum w:abstractNumId="7" w15:restartNumberingAfterBreak="0">
    <w:nsid w:val="31E12EC0"/>
    <w:multiLevelType w:val="hybridMultilevel"/>
    <w:tmpl w:val="23747B3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668602F"/>
    <w:multiLevelType w:val="hybridMultilevel"/>
    <w:tmpl w:val="90F0D41C"/>
    <w:lvl w:ilvl="0" w:tplc="EE966EA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84A2B1D"/>
    <w:multiLevelType w:val="hybridMultilevel"/>
    <w:tmpl w:val="E7403934"/>
    <w:lvl w:ilvl="0" w:tplc="31CE1076">
      <w:start w:val="1"/>
      <w:numFmt w:val="lowerLetter"/>
      <w:lvlText w:val="%1)"/>
      <w:lvlJc w:val="left"/>
      <w:pPr>
        <w:ind w:left="768" w:hanging="4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8D91AC6"/>
    <w:multiLevelType w:val="multilevel"/>
    <w:tmpl w:val="8482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E27068"/>
    <w:multiLevelType w:val="hybridMultilevel"/>
    <w:tmpl w:val="309C3C60"/>
    <w:lvl w:ilvl="0" w:tplc="EE966EA6">
      <w:start w:val="1"/>
      <w:numFmt w:val="decimal"/>
      <w:lvlText w:val="%1°"/>
      <w:lvlJc w:val="left"/>
      <w:pPr>
        <w:ind w:left="894" w:hanging="360"/>
      </w:pPr>
      <w:rPr>
        <w:rFonts w:hint="default"/>
      </w:rPr>
    </w:lvl>
    <w:lvl w:ilvl="1" w:tplc="080C0019" w:tentative="1">
      <w:start w:val="1"/>
      <w:numFmt w:val="lowerLetter"/>
      <w:lvlText w:val="%2."/>
      <w:lvlJc w:val="left"/>
      <w:pPr>
        <w:ind w:left="1614" w:hanging="360"/>
      </w:pPr>
    </w:lvl>
    <w:lvl w:ilvl="2" w:tplc="080C001B" w:tentative="1">
      <w:start w:val="1"/>
      <w:numFmt w:val="lowerRoman"/>
      <w:lvlText w:val="%3."/>
      <w:lvlJc w:val="right"/>
      <w:pPr>
        <w:ind w:left="2334" w:hanging="180"/>
      </w:pPr>
    </w:lvl>
    <w:lvl w:ilvl="3" w:tplc="080C000F" w:tentative="1">
      <w:start w:val="1"/>
      <w:numFmt w:val="decimal"/>
      <w:lvlText w:val="%4."/>
      <w:lvlJc w:val="left"/>
      <w:pPr>
        <w:ind w:left="3054" w:hanging="360"/>
      </w:pPr>
    </w:lvl>
    <w:lvl w:ilvl="4" w:tplc="080C0019" w:tentative="1">
      <w:start w:val="1"/>
      <w:numFmt w:val="lowerLetter"/>
      <w:lvlText w:val="%5."/>
      <w:lvlJc w:val="left"/>
      <w:pPr>
        <w:ind w:left="3774" w:hanging="360"/>
      </w:pPr>
    </w:lvl>
    <w:lvl w:ilvl="5" w:tplc="080C001B" w:tentative="1">
      <w:start w:val="1"/>
      <w:numFmt w:val="lowerRoman"/>
      <w:lvlText w:val="%6."/>
      <w:lvlJc w:val="right"/>
      <w:pPr>
        <w:ind w:left="4494" w:hanging="180"/>
      </w:pPr>
    </w:lvl>
    <w:lvl w:ilvl="6" w:tplc="080C000F" w:tentative="1">
      <w:start w:val="1"/>
      <w:numFmt w:val="decimal"/>
      <w:lvlText w:val="%7."/>
      <w:lvlJc w:val="left"/>
      <w:pPr>
        <w:ind w:left="5214" w:hanging="360"/>
      </w:pPr>
    </w:lvl>
    <w:lvl w:ilvl="7" w:tplc="080C0019" w:tentative="1">
      <w:start w:val="1"/>
      <w:numFmt w:val="lowerLetter"/>
      <w:lvlText w:val="%8."/>
      <w:lvlJc w:val="left"/>
      <w:pPr>
        <w:ind w:left="5934" w:hanging="360"/>
      </w:pPr>
    </w:lvl>
    <w:lvl w:ilvl="8" w:tplc="080C001B" w:tentative="1">
      <w:start w:val="1"/>
      <w:numFmt w:val="lowerRoman"/>
      <w:lvlText w:val="%9."/>
      <w:lvlJc w:val="right"/>
      <w:pPr>
        <w:ind w:left="6654" w:hanging="180"/>
      </w:pPr>
    </w:lvl>
  </w:abstractNum>
  <w:abstractNum w:abstractNumId="12" w15:restartNumberingAfterBreak="0">
    <w:nsid w:val="43EF68D9"/>
    <w:multiLevelType w:val="hybridMultilevel"/>
    <w:tmpl w:val="45ECE2DE"/>
    <w:lvl w:ilvl="0" w:tplc="24401EA0">
      <w:start w:val="1"/>
      <w:numFmt w:val="decimal"/>
      <w:lvlText w:val="%1."/>
      <w:lvlJc w:val="left"/>
      <w:pPr>
        <w:ind w:left="720" w:hanging="360"/>
      </w:pPr>
      <w:rPr>
        <w:rFonts w:ascii="Times New Roman" w:eastAsia="Lucida Sans Unicode" w:hAnsi="Times New Roman" w:hint="default"/>
        <w:b/>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E5B2CB5"/>
    <w:multiLevelType w:val="hybridMultilevel"/>
    <w:tmpl w:val="65865DAA"/>
    <w:lvl w:ilvl="0" w:tplc="7E38AB20">
      <w:start w:val="1"/>
      <w:numFmt w:val="decimal"/>
      <w:lvlText w:val="%1."/>
      <w:lvlJc w:val="left"/>
      <w:pPr>
        <w:ind w:left="1080" w:hanging="360"/>
      </w:pPr>
      <w:rPr>
        <w:rFonts w:eastAsiaTheme="minorHAnsi" w:hint="default"/>
        <w:b/>
        <w:u w:val="singl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5A622EEF"/>
    <w:multiLevelType w:val="hybridMultilevel"/>
    <w:tmpl w:val="8AFA11F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5EA244E0"/>
    <w:multiLevelType w:val="hybridMultilevel"/>
    <w:tmpl w:val="921485DA"/>
    <w:lvl w:ilvl="0" w:tplc="C8E69A2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FC374BA"/>
    <w:multiLevelType w:val="hybridMultilevel"/>
    <w:tmpl w:val="61183C84"/>
    <w:lvl w:ilvl="0" w:tplc="C75CC600">
      <w:start w:val="1"/>
      <w:numFmt w:val="decimal"/>
      <w:lvlText w:val="%1."/>
      <w:lvlJc w:val="left"/>
      <w:pPr>
        <w:ind w:left="2204" w:hanging="360"/>
      </w:pPr>
      <w:rPr>
        <w:rFonts w:eastAsiaTheme="minorHAnsi" w:hint="default"/>
        <w:b/>
      </w:rPr>
    </w:lvl>
    <w:lvl w:ilvl="1" w:tplc="080C0019" w:tentative="1">
      <w:start w:val="1"/>
      <w:numFmt w:val="lowerLetter"/>
      <w:lvlText w:val="%2."/>
      <w:lvlJc w:val="left"/>
      <w:pPr>
        <w:ind w:left="3946" w:hanging="360"/>
      </w:pPr>
    </w:lvl>
    <w:lvl w:ilvl="2" w:tplc="080C001B" w:tentative="1">
      <w:start w:val="1"/>
      <w:numFmt w:val="lowerRoman"/>
      <w:lvlText w:val="%3."/>
      <w:lvlJc w:val="right"/>
      <w:pPr>
        <w:ind w:left="4666" w:hanging="180"/>
      </w:pPr>
    </w:lvl>
    <w:lvl w:ilvl="3" w:tplc="080C000F" w:tentative="1">
      <w:start w:val="1"/>
      <w:numFmt w:val="decimal"/>
      <w:lvlText w:val="%4."/>
      <w:lvlJc w:val="left"/>
      <w:pPr>
        <w:ind w:left="5386" w:hanging="360"/>
      </w:pPr>
    </w:lvl>
    <w:lvl w:ilvl="4" w:tplc="080C0019" w:tentative="1">
      <w:start w:val="1"/>
      <w:numFmt w:val="lowerLetter"/>
      <w:lvlText w:val="%5."/>
      <w:lvlJc w:val="left"/>
      <w:pPr>
        <w:ind w:left="6106" w:hanging="360"/>
      </w:pPr>
    </w:lvl>
    <w:lvl w:ilvl="5" w:tplc="080C001B" w:tentative="1">
      <w:start w:val="1"/>
      <w:numFmt w:val="lowerRoman"/>
      <w:lvlText w:val="%6."/>
      <w:lvlJc w:val="right"/>
      <w:pPr>
        <w:ind w:left="6826" w:hanging="180"/>
      </w:pPr>
    </w:lvl>
    <w:lvl w:ilvl="6" w:tplc="080C000F" w:tentative="1">
      <w:start w:val="1"/>
      <w:numFmt w:val="decimal"/>
      <w:lvlText w:val="%7."/>
      <w:lvlJc w:val="left"/>
      <w:pPr>
        <w:ind w:left="7546" w:hanging="360"/>
      </w:pPr>
    </w:lvl>
    <w:lvl w:ilvl="7" w:tplc="080C0019" w:tentative="1">
      <w:start w:val="1"/>
      <w:numFmt w:val="lowerLetter"/>
      <w:lvlText w:val="%8."/>
      <w:lvlJc w:val="left"/>
      <w:pPr>
        <w:ind w:left="8266" w:hanging="360"/>
      </w:pPr>
    </w:lvl>
    <w:lvl w:ilvl="8" w:tplc="080C001B" w:tentative="1">
      <w:start w:val="1"/>
      <w:numFmt w:val="lowerRoman"/>
      <w:lvlText w:val="%9."/>
      <w:lvlJc w:val="right"/>
      <w:pPr>
        <w:ind w:left="8986" w:hanging="180"/>
      </w:pPr>
    </w:lvl>
  </w:abstractNum>
  <w:abstractNum w:abstractNumId="17" w15:restartNumberingAfterBreak="0">
    <w:nsid w:val="609861EB"/>
    <w:multiLevelType w:val="multilevel"/>
    <w:tmpl w:val="83305246"/>
    <w:lvl w:ilvl="0">
      <w:start w:val="1"/>
      <w:numFmt w:val="decimal"/>
      <w:lvlText w:val="%1."/>
      <w:lvlJc w:val="left"/>
      <w:pPr>
        <w:tabs>
          <w:tab w:val="num" w:pos="2487"/>
        </w:tabs>
        <w:ind w:left="2487" w:hanging="360"/>
      </w:pPr>
    </w:lvl>
    <w:lvl w:ilvl="1" w:tentative="1">
      <w:start w:val="1"/>
      <w:numFmt w:val="decimal"/>
      <w:lvlText w:val="%2."/>
      <w:lvlJc w:val="left"/>
      <w:pPr>
        <w:tabs>
          <w:tab w:val="num" w:pos="3207"/>
        </w:tabs>
        <w:ind w:left="3207" w:hanging="360"/>
      </w:pPr>
    </w:lvl>
    <w:lvl w:ilvl="2" w:tentative="1">
      <w:start w:val="1"/>
      <w:numFmt w:val="decimal"/>
      <w:lvlText w:val="%3."/>
      <w:lvlJc w:val="left"/>
      <w:pPr>
        <w:tabs>
          <w:tab w:val="num" w:pos="3927"/>
        </w:tabs>
        <w:ind w:left="3927" w:hanging="360"/>
      </w:pPr>
    </w:lvl>
    <w:lvl w:ilvl="3" w:tentative="1">
      <w:start w:val="1"/>
      <w:numFmt w:val="decimal"/>
      <w:lvlText w:val="%4."/>
      <w:lvlJc w:val="left"/>
      <w:pPr>
        <w:tabs>
          <w:tab w:val="num" w:pos="4647"/>
        </w:tabs>
        <w:ind w:left="4647" w:hanging="360"/>
      </w:pPr>
    </w:lvl>
    <w:lvl w:ilvl="4" w:tentative="1">
      <w:start w:val="1"/>
      <w:numFmt w:val="decimal"/>
      <w:lvlText w:val="%5."/>
      <w:lvlJc w:val="left"/>
      <w:pPr>
        <w:tabs>
          <w:tab w:val="num" w:pos="5367"/>
        </w:tabs>
        <w:ind w:left="5367" w:hanging="360"/>
      </w:pPr>
    </w:lvl>
    <w:lvl w:ilvl="5" w:tentative="1">
      <w:start w:val="1"/>
      <w:numFmt w:val="decimal"/>
      <w:lvlText w:val="%6."/>
      <w:lvlJc w:val="left"/>
      <w:pPr>
        <w:tabs>
          <w:tab w:val="num" w:pos="6087"/>
        </w:tabs>
        <w:ind w:left="6087" w:hanging="360"/>
      </w:pPr>
    </w:lvl>
    <w:lvl w:ilvl="6" w:tentative="1">
      <w:start w:val="1"/>
      <w:numFmt w:val="decimal"/>
      <w:lvlText w:val="%7."/>
      <w:lvlJc w:val="left"/>
      <w:pPr>
        <w:tabs>
          <w:tab w:val="num" w:pos="6807"/>
        </w:tabs>
        <w:ind w:left="6807" w:hanging="360"/>
      </w:pPr>
    </w:lvl>
    <w:lvl w:ilvl="7" w:tentative="1">
      <w:start w:val="1"/>
      <w:numFmt w:val="decimal"/>
      <w:lvlText w:val="%8."/>
      <w:lvlJc w:val="left"/>
      <w:pPr>
        <w:tabs>
          <w:tab w:val="num" w:pos="7527"/>
        </w:tabs>
        <w:ind w:left="7527" w:hanging="360"/>
      </w:pPr>
    </w:lvl>
    <w:lvl w:ilvl="8" w:tentative="1">
      <w:start w:val="1"/>
      <w:numFmt w:val="decimal"/>
      <w:lvlText w:val="%9."/>
      <w:lvlJc w:val="left"/>
      <w:pPr>
        <w:tabs>
          <w:tab w:val="num" w:pos="8247"/>
        </w:tabs>
        <w:ind w:left="8247" w:hanging="360"/>
      </w:pPr>
    </w:lvl>
  </w:abstractNum>
  <w:abstractNum w:abstractNumId="18" w15:restartNumberingAfterBreak="0">
    <w:nsid w:val="76347537"/>
    <w:multiLevelType w:val="multilevel"/>
    <w:tmpl w:val="83305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2467C5"/>
    <w:multiLevelType w:val="hybridMultilevel"/>
    <w:tmpl w:val="B25AA4BC"/>
    <w:lvl w:ilvl="0" w:tplc="BD40C22C">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9"/>
  </w:num>
  <w:num w:numId="6">
    <w:abstractNumId w:val="9"/>
  </w:num>
  <w:num w:numId="7">
    <w:abstractNumId w:val="7"/>
  </w:num>
  <w:num w:numId="8">
    <w:abstractNumId w:val="11"/>
  </w:num>
  <w:num w:numId="9">
    <w:abstractNumId w:val="8"/>
  </w:num>
  <w:num w:numId="10">
    <w:abstractNumId w:val="17"/>
  </w:num>
  <w:num w:numId="11">
    <w:abstractNumId w:val="12"/>
  </w:num>
  <w:num w:numId="12">
    <w:abstractNumId w:val="13"/>
  </w:num>
  <w:num w:numId="13">
    <w:abstractNumId w:val="16"/>
  </w:num>
  <w:num w:numId="14">
    <w:abstractNumId w:val="5"/>
  </w:num>
  <w:num w:numId="15">
    <w:abstractNumId w:val="3"/>
  </w:num>
  <w:num w:numId="16">
    <w:abstractNumId w:val="6"/>
  </w:num>
  <w:num w:numId="17">
    <w:abstractNumId w:val="18"/>
  </w:num>
  <w:num w:numId="18">
    <w:abstractNumId w:val="14"/>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32"/>
    <w:rsid w:val="00000649"/>
    <w:rsid w:val="000060F9"/>
    <w:rsid w:val="0001536A"/>
    <w:rsid w:val="00017C40"/>
    <w:rsid w:val="00020E90"/>
    <w:rsid w:val="00023882"/>
    <w:rsid w:val="00032577"/>
    <w:rsid w:val="0003426E"/>
    <w:rsid w:val="00034946"/>
    <w:rsid w:val="00043314"/>
    <w:rsid w:val="00046786"/>
    <w:rsid w:val="000477B9"/>
    <w:rsid w:val="000600AA"/>
    <w:rsid w:val="00060FFC"/>
    <w:rsid w:val="00062505"/>
    <w:rsid w:val="0008597A"/>
    <w:rsid w:val="00086D1A"/>
    <w:rsid w:val="00096208"/>
    <w:rsid w:val="00097056"/>
    <w:rsid w:val="000A330F"/>
    <w:rsid w:val="000B1366"/>
    <w:rsid w:val="000B68B6"/>
    <w:rsid w:val="000C09E6"/>
    <w:rsid w:val="000C3CFB"/>
    <w:rsid w:val="000C5189"/>
    <w:rsid w:val="000C58F8"/>
    <w:rsid w:val="000D3E43"/>
    <w:rsid w:val="000D6F02"/>
    <w:rsid w:val="000D7833"/>
    <w:rsid w:val="000E55FA"/>
    <w:rsid w:val="001056A6"/>
    <w:rsid w:val="001112DC"/>
    <w:rsid w:val="0011326A"/>
    <w:rsid w:val="001140BB"/>
    <w:rsid w:val="0012230A"/>
    <w:rsid w:val="0012701F"/>
    <w:rsid w:val="00130794"/>
    <w:rsid w:val="00135211"/>
    <w:rsid w:val="001412CE"/>
    <w:rsid w:val="00144DEC"/>
    <w:rsid w:val="0014611F"/>
    <w:rsid w:val="00170B62"/>
    <w:rsid w:val="00174852"/>
    <w:rsid w:val="00174939"/>
    <w:rsid w:val="0017639B"/>
    <w:rsid w:val="00181816"/>
    <w:rsid w:val="001846DA"/>
    <w:rsid w:val="001A3706"/>
    <w:rsid w:val="001E3213"/>
    <w:rsid w:val="001E57BF"/>
    <w:rsid w:val="001E6B38"/>
    <w:rsid w:val="001F2533"/>
    <w:rsid w:val="001F76FB"/>
    <w:rsid w:val="002077FE"/>
    <w:rsid w:val="00212080"/>
    <w:rsid w:val="00214C1E"/>
    <w:rsid w:val="002172FE"/>
    <w:rsid w:val="00224B59"/>
    <w:rsid w:val="0023687E"/>
    <w:rsid w:val="00236F03"/>
    <w:rsid w:val="00251BF9"/>
    <w:rsid w:val="0025437D"/>
    <w:rsid w:val="002548B5"/>
    <w:rsid w:val="00255D37"/>
    <w:rsid w:val="002670B0"/>
    <w:rsid w:val="00280142"/>
    <w:rsid w:val="00285DCB"/>
    <w:rsid w:val="00290E18"/>
    <w:rsid w:val="00295E00"/>
    <w:rsid w:val="00296677"/>
    <w:rsid w:val="002A00F0"/>
    <w:rsid w:val="002A4096"/>
    <w:rsid w:val="002A62E0"/>
    <w:rsid w:val="002B2395"/>
    <w:rsid w:val="002B5E7C"/>
    <w:rsid w:val="002C1E21"/>
    <w:rsid w:val="002E1650"/>
    <w:rsid w:val="002E4B01"/>
    <w:rsid w:val="002E7B15"/>
    <w:rsid w:val="002E7C6E"/>
    <w:rsid w:val="002F38FC"/>
    <w:rsid w:val="002F3F7C"/>
    <w:rsid w:val="0030248F"/>
    <w:rsid w:val="00303F77"/>
    <w:rsid w:val="0030513C"/>
    <w:rsid w:val="00310A09"/>
    <w:rsid w:val="0031181F"/>
    <w:rsid w:val="00321A68"/>
    <w:rsid w:val="003327EE"/>
    <w:rsid w:val="003337E8"/>
    <w:rsid w:val="00335BE0"/>
    <w:rsid w:val="00344C62"/>
    <w:rsid w:val="00345D11"/>
    <w:rsid w:val="00355204"/>
    <w:rsid w:val="003579DD"/>
    <w:rsid w:val="00360E3C"/>
    <w:rsid w:val="00362F1B"/>
    <w:rsid w:val="003661F3"/>
    <w:rsid w:val="003663C4"/>
    <w:rsid w:val="00366717"/>
    <w:rsid w:val="00385F02"/>
    <w:rsid w:val="00391CE0"/>
    <w:rsid w:val="00392ED4"/>
    <w:rsid w:val="003A3E1D"/>
    <w:rsid w:val="003A7843"/>
    <w:rsid w:val="003B6175"/>
    <w:rsid w:val="003C7384"/>
    <w:rsid w:val="003D338F"/>
    <w:rsid w:val="003D57A4"/>
    <w:rsid w:val="003F6801"/>
    <w:rsid w:val="0040321C"/>
    <w:rsid w:val="00403F3E"/>
    <w:rsid w:val="00404DFE"/>
    <w:rsid w:val="00405427"/>
    <w:rsid w:val="00406FAE"/>
    <w:rsid w:val="00411986"/>
    <w:rsid w:val="004406AC"/>
    <w:rsid w:val="00452146"/>
    <w:rsid w:val="00456400"/>
    <w:rsid w:val="00457E3F"/>
    <w:rsid w:val="00465C84"/>
    <w:rsid w:val="00466100"/>
    <w:rsid w:val="0046639A"/>
    <w:rsid w:val="00484A1E"/>
    <w:rsid w:val="00484CF7"/>
    <w:rsid w:val="00484D18"/>
    <w:rsid w:val="00492F98"/>
    <w:rsid w:val="004A3F73"/>
    <w:rsid w:val="004B07C9"/>
    <w:rsid w:val="004B44AE"/>
    <w:rsid w:val="004B7B40"/>
    <w:rsid w:val="004C6D49"/>
    <w:rsid w:val="004E0622"/>
    <w:rsid w:val="005002F0"/>
    <w:rsid w:val="00512A48"/>
    <w:rsid w:val="00517006"/>
    <w:rsid w:val="00530A94"/>
    <w:rsid w:val="00535171"/>
    <w:rsid w:val="00540F49"/>
    <w:rsid w:val="00546660"/>
    <w:rsid w:val="00550A48"/>
    <w:rsid w:val="00556EFB"/>
    <w:rsid w:val="00561678"/>
    <w:rsid w:val="00563DE1"/>
    <w:rsid w:val="00565BF2"/>
    <w:rsid w:val="005735EB"/>
    <w:rsid w:val="005764FF"/>
    <w:rsid w:val="00576F7E"/>
    <w:rsid w:val="00590B03"/>
    <w:rsid w:val="005A76DE"/>
    <w:rsid w:val="005B0BEE"/>
    <w:rsid w:val="005B45C0"/>
    <w:rsid w:val="005B5E77"/>
    <w:rsid w:val="005B728D"/>
    <w:rsid w:val="005C0E76"/>
    <w:rsid w:val="005D0A66"/>
    <w:rsid w:val="005D4CAF"/>
    <w:rsid w:val="005E75AC"/>
    <w:rsid w:val="0061230A"/>
    <w:rsid w:val="00612D2C"/>
    <w:rsid w:val="00633B08"/>
    <w:rsid w:val="006340D1"/>
    <w:rsid w:val="00641840"/>
    <w:rsid w:val="006523CE"/>
    <w:rsid w:val="00655070"/>
    <w:rsid w:val="006717A9"/>
    <w:rsid w:val="00671B2F"/>
    <w:rsid w:val="006727DB"/>
    <w:rsid w:val="006728DF"/>
    <w:rsid w:val="00681AF3"/>
    <w:rsid w:val="00681B11"/>
    <w:rsid w:val="0068523F"/>
    <w:rsid w:val="00696019"/>
    <w:rsid w:val="00696277"/>
    <w:rsid w:val="0069786F"/>
    <w:rsid w:val="006A5B23"/>
    <w:rsid w:val="006A5D3C"/>
    <w:rsid w:val="006E02FB"/>
    <w:rsid w:val="006E5C30"/>
    <w:rsid w:val="006E6C17"/>
    <w:rsid w:val="006F3B3C"/>
    <w:rsid w:val="006F659D"/>
    <w:rsid w:val="00701530"/>
    <w:rsid w:val="007110A9"/>
    <w:rsid w:val="0071119C"/>
    <w:rsid w:val="00712AEE"/>
    <w:rsid w:val="00713509"/>
    <w:rsid w:val="007237D5"/>
    <w:rsid w:val="00724D66"/>
    <w:rsid w:val="00744887"/>
    <w:rsid w:val="0074692B"/>
    <w:rsid w:val="0076619A"/>
    <w:rsid w:val="00775B33"/>
    <w:rsid w:val="007936A7"/>
    <w:rsid w:val="007975F8"/>
    <w:rsid w:val="007A061E"/>
    <w:rsid w:val="007A65F8"/>
    <w:rsid w:val="007A790B"/>
    <w:rsid w:val="007B1F12"/>
    <w:rsid w:val="007C434A"/>
    <w:rsid w:val="007D120A"/>
    <w:rsid w:val="007D3906"/>
    <w:rsid w:val="007D4F26"/>
    <w:rsid w:val="007D7988"/>
    <w:rsid w:val="007E0AC1"/>
    <w:rsid w:val="007E1578"/>
    <w:rsid w:val="007E2F49"/>
    <w:rsid w:val="007E6B94"/>
    <w:rsid w:val="007E7F7E"/>
    <w:rsid w:val="007F1533"/>
    <w:rsid w:val="007F59C9"/>
    <w:rsid w:val="007F7AF6"/>
    <w:rsid w:val="00801D89"/>
    <w:rsid w:val="00801DFB"/>
    <w:rsid w:val="0081044B"/>
    <w:rsid w:val="00822D4B"/>
    <w:rsid w:val="00833FA7"/>
    <w:rsid w:val="008357A0"/>
    <w:rsid w:val="00841305"/>
    <w:rsid w:val="00843AF1"/>
    <w:rsid w:val="008529E0"/>
    <w:rsid w:val="00854EFB"/>
    <w:rsid w:val="00856C53"/>
    <w:rsid w:val="0086444F"/>
    <w:rsid w:val="008724AE"/>
    <w:rsid w:val="0087765E"/>
    <w:rsid w:val="00882B8A"/>
    <w:rsid w:val="008966DA"/>
    <w:rsid w:val="008A6428"/>
    <w:rsid w:val="008B1C7E"/>
    <w:rsid w:val="008B5812"/>
    <w:rsid w:val="008C4AFC"/>
    <w:rsid w:val="008C7642"/>
    <w:rsid w:val="008D1427"/>
    <w:rsid w:val="008D4E86"/>
    <w:rsid w:val="008D5295"/>
    <w:rsid w:val="008E0032"/>
    <w:rsid w:val="008F0840"/>
    <w:rsid w:val="008F2B23"/>
    <w:rsid w:val="008F7B33"/>
    <w:rsid w:val="009011B0"/>
    <w:rsid w:val="009352E7"/>
    <w:rsid w:val="009459C0"/>
    <w:rsid w:val="009546A2"/>
    <w:rsid w:val="009706E8"/>
    <w:rsid w:val="00985B55"/>
    <w:rsid w:val="00986A04"/>
    <w:rsid w:val="009A05B1"/>
    <w:rsid w:val="009B0A03"/>
    <w:rsid w:val="009B4182"/>
    <w:rsid w:val="009B4192"/>
    <w:rsid w:val="009B483A"/>
    <w:rsid w:val="009B4B81"/>
    <w:rsid w:val="009C34B2"/>
    <w:rsid w:val="009C73DB"/>
    <w:rsid w:val="009E555E"/>
    <w:rsid w:val="009E607E"/>
    <w:rsid w:val="009E65FA"/>
    <w:rsid w:val="009F3663"/>
    <w:rsid w:val="009F7783"/>
    <w:rsid w:val="00A00B86"/>
    <w:rsid w:val="00A03EE0"/>
    <w:rsid w:val="00A063C0"/>
    <w:rsid w:val="00A073A5"/>
    <w:rsid w:val="00A201EC"/>
    <w:rsid w:val="00A247F6"/>
    <w:rsid w:val="00A26FEE"/>
    <w:rsid w:val="00A35D67"/>
    <w:rsid w:val="00A44246"/>
    <w:rsid w:val="00A53CFA"/>
    <w:rsid w:val="00A55921"/>
    <w:rsid w:val="00A623B3"/>
    <w:rsid w:val="00A733AB"/>
    <w:rsid w:val="00A93F16"/>
    <w:rsid w:val="00A949AA"/>
    <w:rsid w:val="00A94AC2"/>
    <w:rsid w:val="00A95DC3"/>
    <w:rsid w:val="00A96FF6"/>
    <w:rsid w:val="00AA0AE3"/>
    <w:rsid w:val="00AA3BC8"/>
    <w:rsid w:val="00AB1EC2"/>
    <w:rsid w:val="00AC744B"/>
    <w:rsid w:val="00AC789D"/>
    <w:rsid w:val="00AD3FC7"/>
    <w:rsid w:val="00AD407A"/>
    <w:rsid w:val="00AD4937"/>
    <w:rsid w:val="00AD65C6"/>
    <w:rsid w:val="00AD6850"/>
    <w:rsid w:val="00AD7830"/>
    <w:rsid w:val="00AE4070"/>
    <w:rsid w:val="00AE6736"/>
    <w:rsid w:val="00AE7240"/>
    <w:rsid w:val="00AE7B27"/>
    <w:rsid w:val="00AF26B4"/>
    <w:rsid w:val="00AF2F4E"/>
    <w:rsid w:val="00B10D99"/>
    <w:rsid w:val="00B23AC1"/>
    <w:rsid w:val="00B27BAB"/>
    <w:rsid w:val="00B472B7"/>
    <w:rsid w:val="00B479F6"/>
    <w:rsid w:val="00B51563"/>
    <w:rsid w:val="00B65888"/>
    <w:rsid w:val="00B70F78"/>
    <w:rsid w:val="00B8393B"/>
    <w:rsid w:val="00B85C71"/>
    <w:rsid w:val="00B87CE8"/>
    <w:rsid w:val="00B90A11"/>
    <w:rsid w:val="00B93BD1"/>
    <w:rsid w:val="00B95863"/>
    <w:rsid w:val="00B96C2E"/>
    <w:rsid w:val="00BA7684"/>
    <w:rsid w:val="00BB5D69"/>
    <w:rsid w:val="00BC7CD4"/>
    <w:rsid w:val="00BE0147"/>
    <w:rsid w:val="00BE6FF7"/>
    <w:rsid w:val="00BE76A9"/>
    <w:rsid w:val="00C03B65"/>
    <w:rsid w:val="00C06689"/>
    <w:rsid w:val="00C11894"/>
    <w:rsid w:val="00C13121"/>
    <w:rsid w:val="00C141B3"/>
    <w:rsid w:val="00C30AC8"/>
    <w:rsid w:val="00C31E7F"/>
    <w:rsid w:val="00C31E85"/>
    <w:rsid w:val="00C35265"/>
    <w:rsid w:val="00C40223"/>
    <w:rsid w:val="00C43489"/>
    <w:rsid w:val="00C46625"/>
    <w:rsid w:val="00C536A9"/>
    <w:rsid w:val="00C6097C"/>
    <w:rsid w:val="00C736FE"/>
    <w:rsid w:val="00C8188E"/>
    <w:rsid w:val="00C87A1D"/>
    <w:rsid w:val="00CB1C41"/>
    <w:rsid w:val="00CC44C5"/>
    <w:rsid w:val="00CD01BD"/>
    <w:rsid w:val="00CD10C2"/>
    <w:rsid w:val="00CD2D9C"/>
    <w:rsid w:val="00CD5C05"/>
    <w:rsid w:val="00CD7048"/>
    <w:rsid w:val="00CD70B4"/>
    <w:rsid w:val="00CE0B32"/>
    <w:rsid w:val="00CF2D62"/>
    <w:rsid w:val="00D049DA"/>
    <w:rsid w:val="00D04A85"/>
    <w:rsid w:val="00D118E4"/>
    <w:rsid w:val="00D16861"/>
    <w:rsid w:val="00D214B8"/>
    <w:rsid w:val="00D224D2"/>
    <w:rsid w:val="00D26657"/>
    <w:rsid w:val="00D30CF3"/>
    <w:rsid w:val="00D32DFD"/>
    <w:rsid w:val="00D41DB9"/>
    <w:rsid w:val="00D4551E"/>
    <w:rsid w:val="00D46929"/>
    <w:rsid w:val="00D578DF"/>
    <w:rsid w:val="00D65340"/>
    <w:rsid w:val="00D74599"/>
    <w:rsid w:val="00D8202E"/>
    <w:rsid w:val="00D85268"/>
    <w:rsid w:val="00D857D3"/>
    <w:rsid w:val="00D87080"/>
    <w:rsid w:val="00DA0C14"/>
    <w:rsid w:val="00DA22A7"/>
    <w:rsid w:val="00DD1E25"/>
    <w:rsid w:val="00DD325F"/>
    <w:rsid w:val="00DD3D13"/>
    <w:rsid w:val="00DE1890"/>
    <w:rsid w:val="00DE5CEC"/>
    <w:rsid w:val="00DF396B"/>
    <w:rsid w:val="00DF4004"/>
    <w:rsid w:val="00DF41A7"/>
    <w:rsid w:val="00DF5319"/>
    <w:rsid w:val="00DF57AB"/>
    <w:rsid w:val="00E05928"/>
    <w:rsid w:val="00E125EB"/>
    <w:rsid w:val="00E152B4"/>
    <w:rsid w:val="00E16E9E"/>
    <w:rsid w:val="00E211ED"/>
    <w:rsid w:val="00E30CA0"/>
    <w:rsid w:val="00E40369"/>
    <w:rsid w:val="00E420D7"/>
    <w:rsid w:val="00E45022"/>
    <w:rsid w:val="00E5550E"/>
    <w:rsid w:val="00E57C18"/>
    <w:rsid w:val="00E61B13"/>
    <w:rsid w:val="00E6645D"/>
    <w:rsid w:val="00E70D0B"/>
    <w:rsid w:val="00E874F3"/>
    <w:rsid w:val="00E9398F"/>
    <w:rsid w:val="00E940FA"/>
    <w:rsid w:val="00EA5733"/>
    <w:rsid w:val="00EB4A14"/>
    <w:rsid w:val="00EB6B3B"/>
    <w:rsid w:val="00EC4C02"/>
    <w:rsid w:val="00ED2079"/>
    <w:rsid w:val="00ED24E6"/>
    <w:rsid w:val="00EE59FF"/>
    <w:rsid w:val="00EE61F3"/>
    <w:rsid w:val="00EE6AFD"/>
    <w:rsid w:val="00EF54CF"/>
    <w:rsid w:val="00F02981"/>
    <w:rsid w:val="00F151D6"/>
    <w:rsid w:val="00F32B4C"/>
    <w:rsid w:val="00F41A70"/>
    <w:rsid w:val="00F41BDE"/>
    <w:rsid w:val="00F448AF"/>
    <w:rsid w:val="00F54378"/>
    <w:rsid w:val="00F553C1"/>
    <w:rsid w:val="00F62569"/>
    <w:rsid w:val="00F6641E"/>
    <w:rsid w:val="00F75C39"/>
    <w:rsid w:val="00F80226"/>
    <w:rsid w:val="00FA18CD"/>
    <w:rsid w:val="00FA1C7C"/>
    <w:rsid w:val="00FA3921"/>
    <w:rsid w:val="00FA521E"/>
    <w:rsid w:val="00FA5CFB"/>
    <w:rsid w:val="00FA70C4"/>
    <w:rsid w:val="00FA721C"/>
    <w:rsid w:val="00FB0FDB"/>
    <w:rsid w:val="00FB2524"/>
    <w:rsid w:val="00FB479C"/>
    <w:rsid w:val="00FB50D7"/>
    <w:rsid w:val="00FB7BAC"/>
    <w:rsid w:val="00FC0D51"/>
    <w:rsid w:val="00FC26CD"/>
    <w:rsid w:val="00FC3569"/>
    <w:rsid w:val="00FE2B3A"/>
    <w:rsid w:val="00FE2E4E"/>
    <w:rsid w:val="00FE520F"/>
    <w:rsid w:val="00FE53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D5960FF-E2C8-42CB-A3AB-588ED57D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paragraph" w:styleId="Corpsdetexte">
    <w:name w:val="Body Text"/>
    <w:basedOn w:val="Normal"/>
    <w:pPr>
      <w:spacing w:after="120"/>
    </w:p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Liste">
    <w:name w:val="List"/>
    <w:basedOn w:val="Corpsdetexte"/>
    <w:rPr>
      <w:rFonts w:cs="Tahom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extedebulles">
    <w:name w:val="Balloon Text"/>
    <w:basedOn w:val="Normal"/>
    <w:link w:val="TextedebullesCar"/>
    <w:uiPriority w:val="99"/>
    <w:semiHidden/>
    <w:unhideWhenUsed/>
    <w:rsid w:val="007E7F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7F7E"/>
    <w:rPr>
      <w:rFonts w:ascii="Segoe UI" w:eastAsia="Lucida Sans Unicode" w:hAnsi="Segoe UI" w:cs="Segoe UI"/>
      <w:kern w:val="1"/>
      <w:sz w:val="18"/>
      <w:szCs w:val="18"/>
    </w:rPr>
  </w:style>
  <w:style w:type="character" w:styleId="Lienhypertexte">
    <w:name w:val="Hyperlink"/>
    <w:basedOn w:val="Policepardfaut"/>
    <w:uiPriority w:val="99"/>
    <w:unhideWhenUsed/>
    <w:rsid w:val="00D30CF3"/>
    <w:rPr>
      <w:color w:val="0000FF"/>
      <w:u w:val="single"/>
    </w:rPr>
  </w:style>
  <w:style w:type="paragraph" w:styleId="Paragraphedeliste">
    <w:name w:val="List Paragraph"/>
    <w:basedOn w:val="Normal"/>
    <w:uiPriority w:val="34"/>
    <w:qFormat/>
    <w:rsid w:val="007237D5"/>
    <w:pPr>
      <w:widowControl/>
      <w:suppressAutoHyphens w:val="0"/>
      <w:spacing w:before="160" w:after="160"/>
      <w:ind w:left="720"/>
      <w:contextualSpacing/>
      <w:jc w:val="both"/>
    </w:pPr>
    <w:rPr>
      <w:rFonts w:asciiTheme="minorHAnsi" w:eastAsiaTheme="minorHAnsi" w:hAnsiTheme="minorHAnsi" w:cstheme="minorBidi"/>
      <w:kern w:val="0"/>
      <w:sz w:val="22"/>
      <w:szCs w:val="22"/>
      <w:lang w:val="nl-BE" w:eastAsia="en-US"/>
    </w:rPr>
  </w:style>
  <w:style w:type="paragraph" w:styleId="Notedebasdepage">
    <w:name w:val="footnote text"/>
    <w:basedOn w:val="Normal"/>
    <w:link w:val="NotedebasdepageCar"/>
    <w:uiPriority w:val="99"/>
    <w:semiHidden/>
    <w:unhideWhenUsed/>
    <w:rsid w:val="006340D1"/>
    <w:rPr>
      <w:sz w:val="20"/>
      <w:szCs w:val="20"/>
    </w:rPr>
  </w:style>
  <w:style w:type="character" w:customStyle="1" w:styleId="NotedebasdepageCar">
    <w:name w:val="Note de bas de page Car"/>
    <w:basedOn w:val="Policepardfaut"/>
    <w:link w:val="Notedebasdepage"/>
    <w:uiPriority w:val="99"/>
    <w:semiHidden/>
    <w:rsid w:val="006340D1"/>
    <w:rPr>
      <w:rFonts w:eastAsia="Lucida Sans Unicode"/>
      <w:kern w:val="1"/>
    </w:rPr>
  </w:style>
  <w:style w:type="character" w:styleId="Appelnotedebasdep">
    <w:name w:val="footnote reference"/>
    <w:basedOn w:val="Policepardfaut"/>
    <w:uiPriority w:val="99"/>
    <w:semiHidden/>
    <w:unhideWhenUsed/>
    <w:rsid w:val="006340D1"/>
    <w:rPr>
      <w:vertAlign w:val="superscript"/>
    </w:rPr>
  </w:style>
  <w:style w:type="character" w:customStyle="1" w:styleId="particle">
    <w:name w:val="p_article"/>
    <w:basedOn w:val="Policepardfaut"/>
    <w:rsid w:val="00255D37"/>
  </w:style>
  <w:style w:type="character" w:customStyle="1" w:styleId="plist">
    <w:name w:val="p_list"/>
    <w:basedOn w:val="Policepardfaut"/>
    <w:rsid w:val="00255D37"/>
  </w:style>
  <w:style w:type="paragraph" w:styleId="NormalWeb">
    <w:name w:val="Normal (Web)"/>
    <w:basedOn w:val="Normal"/>
    <w:uiPriority w:val="99"/>
    <w:semiHidden/>
    <w:unhideWhenUsed/>
    <w:rsid w:val="006E5C30"/>
    <w:pPr>
      <w:widowControl/>
      <w:suppressAutoHyphens w:val="0"/>
      <w:spacing w:before="100" w:beforeAutospacing="1" w:after="119"/>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E0581-45D5-4F0B-9827-167DDDEB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1063</Words>
  <Characters>5847</Characters>
  <Application>Microsoft Office Word</Application>
  <DocSecurity>0</DocSecurity>
  <Lines>48</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Van Loo</dc:creator>
  <cp:keywords/>
  <cp:lastModifiedBy>Christine Severs</cp:lastModifiedBy>
  <cp:revision>48</cp:revision>
  <cp:lastPrinted>2020-12-17T15:26:00Z</cp:lastPrinted>
  <dcterms:created xsi:type="dcterms:W3CDTF">2020-07-23T09:53:00Z</dcterms:created>
  <dcterms:modified xsi:type="dcterms:W3CDTF">2020-12-17T15:26:00Z</dcterms:modified>
</cp:coreProperties>
</file>